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62" w:rsidRPr="00546F0A" w:rsidRDefault="000D5FD2">
      <w:pPr>
        <w:rPr>
          <w:b/>
          <w:color w:val="9FCB3B"/>
          <w:sz w:val="72"/>
          <w:szCs w:val="72"/>
          <w:lang w:val="en-US"/>
        </w:rPr>
      </w:pPr>
      <w:r w:rsidRPr="00546F0A">
        <w:rPr>
          <w:b/>
          <w:color w:val="9FCB3B"/>
          <w:sz w:val="72"/>
          <w:szCs w:val="72"/>
          <w:lang w:val="en-US"/>
        </w:rPr>
        <w:t>Dutch financing of food comp</w:t>
      </w:r>
      <w:bookmarkStart w:id="0" w:name="_GoBack"/>
      <w:bookmarkEnd w:id="0"/>
      <w:r w:rsidRPr="00546F0A">
        <w:rPr>
          <w:b/>
          <w:color w:val="9FCB3B"/>
          <w:sz w:val="72"/>
          <w:szCs w:val="72"/>
          <w:lang w:val="en-US"/>
        </w:rPr>
        <w:t>anies</w:t>
      </w:r>
    </w:p>
    <w:p w:rsidR="00927E08" w:rsidRPr="00546F0A" w:rsidRDefault="00927E08" w:rsidP="00927E08">
      <w:pPr>
        <w:rPr>
          <w:color w:val="585855"/>
          <w:lang w:val="en-US"/>
        </w:rPr>
      </w:pPr>
    </w:p>
    <w:p w:rsidR="00927E08" w:rsidRPr="00546F0A" w:rsidRDefault="00927E08" w:rsidP="00927E08">
      <w:pPr>
        <w:rPr>
          <w:color w:val="585855"/>
          <w:lang w:val="en-US"/>
        </w:rPr>
      </w:pPr>
    </w:p>
    <w:p w:rsidR="00927E08" w:rsidRPr="00546F0A" w:rsidRDefault="00927E08" w:rsidP="00927E08">
      <w:pPr>
        <w:rPr>
          <w:color w:val="585855"/>
          <w:lang w:val="en-US"/>
        </w:rPr>
      </w:pPr>
    </w:p>
    <w:p w:rsidR="00C426C2" w:rsidRPr="00546F0A" w:rsidRDefault="00C426C2">
      <w:pPr>
        <w:rPr>
          <w:b/>
          <w:color w:val="585855"/>
          <w:sz w:val="28"/>
          <w:szCs w:val="28"/>
          <w:lang w:val="en-US"/>
        </w:rPr>
      </w:pPr>
    </w:p>
    <w:p w:rsidR="00C426C2" w:rsidRPr="00546F0A" w:rsidRDefault="00C426C2">
      <w:pPr>
        <w:rPr>
          <w:b/>
          <w:color w:val="585855"/>
          <w:sz w:val="28"/>
          <w:szCs w:val="28"/>
          <w:lang w:val="en-US"/>
        </w:rPr>
      </w:pPr>
    </w:p>
    <w:p w:rsidR="003B4E62" w:rsidRPr="00546F0A" w:rsidRDefault="001A07DB">
      <w:pPr>
        <w:rPr>
          <w:b/>
          <w:color w:val="585855"/>
          <w:sz w:val="40"/>
          <w:szCs w:val="40"/>
          <w:lang w:val="en-US"/>
        </w:rPr>
        <w:sectPr w:rsidR="003B4E62" w:rsidRPr="00546F0A" w:rsidSect="00415768">
          <w:footerReference w:type="even" r:id="rId8"/>
          <w:footerReference w:type="first" r:id="rId9"/>
          <w:endnotePr>
            <w:numFmt w:val="decimal"/>
          </w:endnotePr>
          <w:pgSz w:w="11905" w:h="16837"/>
          <w:pgMar w:top="3686" w:right="1701" w:bottom="1701" w:left="1701" w:header="851" w:footer="851" w:gutter="0"/>
          <w:cols w:space="708"/>
          <w:noEndnote/>
          <w:docGrid w:linePitch="88"/>
        </w:sectPr>
      </w:pPr>
      <w:r w:rsidRPr="00546F0A">
        <w:rPr>
          <w:b/>
          <w:noProof/>
          <w:color w:val="585855"/>
          <w:sz w:val="40"/>
          <w:szCs w:val="40"/>
          <w:lang w:val="en-US" w:eastAsia="en-US"/>
        </w:rPr>
        <w:drawing>
          <wp:anchor distT="0" distB="0" distL="114300" distR="114300" simplePos="0" relativeHeight="251661312" behindDoc="1" locked="0" layoutInCell="1" allowOverlap="1">
            <wp:simplePos x="0" y="0"/>
            <wp:positionH relativeFrom="column">
              <wp:posOffset>-1257271</wp:posOffset>
            </wp:positionH>
            <wp:positionV relativeFrom="paragraph">
              <wp:posOffset>4079505</wp:posOffset>
            </wp:positionV>
            <wp:extent cx="7833815" cy="1924047"/>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fundo EN wit op grijs.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7943" b="37589"/>
                    <a:stretch/>
                  </pic:blipFill>
                  <pic:spPr bwMode="auto">
                    <a:xfrm>
                      <a:off x="0" y="0"/>
                      <a:ext cx="7833815" cy="192404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27E08" w:rsidRPr="00546F0A">
        <w:rPr>
          <w:b/>
          <w:color w:val="585855"/>
          <w:sz w:val="40"/>
          <w:szCs w:val="40"/>
          <w:lang w:val="en-US"/>
        </w:rPr>
        <w:t>A research paper prepared for</w:t>
      </w:r>
      <w:r w:rsidR="000D5FD2" w:rsidRPr="00546F0A">
        <w:rPr>
          <w:b/>
          <w:color w:val="585855"/>
          <w:sz w:val="40"/>
          <w:szCs w:val="40"/>
          <w:lang w:val="en-US"/>
        </w:rPr>
        <w:t xml:space="preserve"> Oxfam Novib</w:t>
      </w:r>
    </w:p>
    <w:p w:rsidR="002456B6" w:rsidRPr="00546F0A" w:rsidRDefault="000D5FD2" w:rsidP="002456B6">
      <w:pPr>
        <w:rPr>
          <w:b/>
          <w:color w:val="9FCB3B"/>
          <w:sz w:val="72"/>
          <w:szCs w:val="72"/>
          <w:lang w:val="en-US"/>
        </w:rPr>
      </w:pPr>
      <w:r w:rsidRPr="00546F0A">
        <w:rPr>
          <w:b/>
          <w:color w:val="9FCB3B"/>
          <w:sz w:val="72"/>
          <w:szCs w:val="72"/>
          <w:lang w:val="en-US"/>
        </w:rPr>
        <w:lastRenderedPageBreak/>
        <w:t>Dutch financing of food companies</w:t>
      </w:r>
    </w:p>
    <w:p w:rsidR="002456B6" w:rsidRPr="00546F0A" w:rsidRDefault="002456B6" w:rsidP="002456B6">
      <w:pPr>
        <w:rPr>
          <w:color w:val="585855"/>
          <w:lang w:val="en-US"/>
        </w:rPr>
      </w:pPr>
    </w:p>
    <w:p w:rsidR="002456B6" w:rsidRPr="00546F0A" w:rsidRDefault="002456B6" w:rsidP="002456B6">
      <w:pPr>
        <w:rPr>
          <w:color w:val="585855"/>
          <w:lang w:val="en-US"/>
        </w:rPr>
      </w:pPr>
    </w:p>
    <w:p w:rsidR="002456B6" w:rsidRPr="00546F0A" w:rsidRDefault="002456B6" w:rsidP="002456B6">
      <w:pPr>
        <w:rPr>
          <w:color w:val="585855"/>
          <w:lang w:val="en-US"/>
        </w:rPr>
      </w:pPr>
    </w:p>
    <w:p w:rsidR="002456B6" w:rsidRPr="00546F0A" w:rsidRDefault="002456B6" w:rsidP="002456B6">
      <w:pPr>
        <w:rPr>
          <w:b/>
          <w:color w:val="585855"/>
          <w:sz w:val="28"/>
          <w:szCs w:val="28"/>
          <w:lang w:val="en-US"/>
        </w:rPr>
      </w:pPr>
    </w:p>
    <w:p w:rsidR="002456B6" w:rsidRPr="00546F0A" w:rsidRDefault="002456B6" w:rsidP="002456B6">
      <w:pPr>
        <w:rPr>
          <w:b/>
          <w:color w:val="585855"/>
          <w:sz w:val="28"/>
          <w:szCs w:val="28"/>
          <w:lang w:val="en-US"/>
        </w:rPr>
      </w:pPr>
    </w:p>
    <w:p w:rsidR="00E61253" w:rsidRPr="00546F0A" w:rsidRDefault="002456B6" w:rsidP="002456B6">
      <w:pPr>
        <w:rPr>
          <w:color w:val="585855"/>
          <w:lang w:val="en-US"/>
        </w:rPr>
      </w:pPr>
      <w:r w:rsidRPr="00546F0A">
        <w:rPr>
          <w:b/>
          <w:color w:val="585855"/>
          <w:sz w:val="40"/>
          <w:szCs w:val="40"/>
          <w:lang w:val="en-US"/>
        </w:rPr>
        <w:t>A research paper prepared for</w:t>
      </w:r>
      <w:r w:rsidR="000D5FD2" w:rsidRPr="00546F0A">
        <w:rPr>
          <w:b/>
          <w:color w:val="585855"/>
          <w:sz w:val="40"/>
          <w:szCs w:val="40"/>
          <w:lang w:val="en-US"/>
        </w:rPr>
        <w:t xml:space="preserve"> Oxfam Novib</w:t>
      </w:r>
    </w:p>
    <w:p w:rsidR="001E1E12" w:rsidRPr="00546F0A" w:rsidRDefault="001E1E12">
      <w:pPr>
        <w:rPr>
          <w:color w:val="585855"/>
          <w:lang w:val="en-US"/>
        </w:rPr>
      </w:pPr>
    </w:p>
    <w:p w:rsidR="001E1E12" w:rsidRPr="00546F0A" w:rsidRDefault="001E1E12">
      <w:pPr>
        <w:rPr>
          <w:color w:val="585855"/>
          <w:lang w:val="en-US"/>
        </w:rPr>
      </w:pPr>
    </w:p>
    <w:p w:rsidR="00D40858" w:rsidRPr="00546F0A" w:rsidRDefault="00D40858">
      <w:pPr>
        <w:rPr>
          <w:color w:val="585855"/>
          <w:lang w:val="en-US"/>
        </w:rPr>
      </w:pPr>
    </w:p>
    <w:p w:rsidR="00D40858" w:rsidRPr="00546F0A" w:rsidRDefault="00D40858">
      <w:pPr>
        <w:rPr>
          <w:color w:val="585855"/>
          <w:lang w:val="en-US"/>
        </w:rPr>
      </w:pPr>
    </w:p>
    <w:p w:rsidR="00E61253" w:rsidRPr="00546F0A" w:rsidRDefault="00E61253">
      <w:pPr>
        <w:rPr>
          <w:color w:val="585855"/>
          <w:lang w:val="en-US"/>
        </w:rPr>
      </w:pPr>
    </w:p>
    <w:p w:rsidR="00E61253" w:rsidRPr="00ED1F1A" w:rsidRDefault="000D5FD2">
      <w:pPr>
        <w:rPr>
          <w:b/>
          <w:color w:val="585855"/>
          <w:sz w:val="28"/>
          <w:szCs w:val="28"/>
          <w:lang w:val="nl-NL"/>
        </w:rPr>
      </w:pPr>
      <w:r w:rsidRPr="00ED1F1A">
        <w:rPr>
          <w:b/>
          <w:color w:val="585855"/>
          <w:sz w:val="28"/>
          <w:szCs w:val="28"/>
          <w:lang w:val="nl-NL"/>
        </w:rPr>
        <w:t>Jan Willem van Gelder</w:t>
      </w:r>
    </w:p>
    <w:p w:rsidR="000D5FD2" w:rsidRPr="00ED1F1A" w:rsidRDefault="000D5FD2">
      <w:pPr>
        <w:rPr>
          <w:b/>
          <w:color w:val="585855"/>
          <w:sz w:val="28"/>
          <w:szCs w:val="28"/>
          <w:lang w:val="nl-NL"/>
        </w:rPr>
      </w:pPr>
      <w:r w:rsidRPr="00ED1F1A">
        <w:rPr>
          <w:b/>
          <w:color w:val="585855"/>
          <w:sz w:val="28"/>
          <w:szCs w:val="28"/>
          <w:lang w:val="nl-NL"/>
        </w:rPr>
        <w:t>Hassel Kroes</w:t>
      </w:r>
    </w:p>
    <w:p w:rsidR="00E61253" w:rsidRPr="00ED1F1A" w:rsidRDefault="00E61253">
      <w:pPr>
        <w:rPr>
          <w:color w:val="585855"/>
          <w:lang w:val="nl-NL"/>
        </w:rPr>
      </w:pPr>
    </w:p>
    <w:p w:rsidR="00E61253" w:rsidRPr="00ED1F1A" w:rsidRDefault="00E61253">
      <w:pPr>
        <w:rPr>
          <w:color w:val="585855"/>
          <w:lang w:val="nl-NL"/>
        </w:rPr>
      </w:pPr>
    </w:p>
    <w:p w:rsidR="00E61253" w:rsidRPr="00ED1F1A" w:rsidRDefault="00E61253">
      <w:pPr>
        <w:rPr>
          <w:color w:val="585855"/>
          <w:lang w:val="nl-NL"/>
        </w:rPr>
      </w:pPr>
    </w:p>
    <w:p w:rsidR="00E61253" w:rsidRPr="00546F0A" w:rsidRDefault="00E55126">
      <w:pPr>
        <w:rPr>
          <w:b/>
          <w:bCs/>
          <w:color w:val="585855"/>
          <w:sz w:val="28"/>
          <w:szCs w:val="24"/>
          <w:lang w:val="en-US"/>
        </w:rPr>
      </w:pPr>
      <w:r w:rsidRPr="00546F0A">
        <w:rPr>
          <w:b/>
          <w:bCs/>
          <w:color w:val="585855"/>
          <w:sz w:val="24"/>
          <w:szCs w:val="24"/>
          <w:lang w:val="en-US"/>
        </w:rPr>
        <w:fldChar w:fldCharType="begin"/>
      </w:r>
      <w:r w:rsidR="00F427BE" w:rsidRPr="00546F0A">
        <w:rPr>
          <w:b/>
          <w:bCs/>
          <w:color w:val="585855"/>
          <w:sz w:val="24"/>
          <w:szCs w:val="24"/>
          <w:lang w:val="en-US"/>
        </w:rPr>
        <w:instrText xml:space="preserve"> SAVEDATE  \@ "d MMMM yyyy"  \* MERGEFORMAT </w:instrText>
      </w:r>
      <w:r w:rsidRPr="00546F0A">
        <w:rPr>
          <w:b/>
          <w:bCs/>
          <w:color w:val="585855"/>
          <w:sz w:val="24"/>
          <w:szCs w:val="24"/>
          <w:lang w:val="en-US"/>
        </w:rPr>
        <w:fldChar w:fldCharType="separate"/>
      </w:r>
      <w:r w:rsidR="00D74F7E">
        <w:rPr>
          <w:b/>
          <w:bCs/>
          <w:noProof/>
          <w:color w:val="585855"/>
          <w:sz w:val="24"/>
          <w:szCs w:val="24"/>
          <w:lang w:val="en-US"/>
        </w:rPr>
        <w:t>29 August 2013</w:t>
      </w:r>
      <w:r w:rsidRPr="00546F0A">
        <w:rPr>
          <w:b/>
          <w:bCs/>
          <w:color w:val="585855"/>
          <w:sz w:val="24"/>
          <w:szCs w:val="24"/>
          <w:lang w:val="en-US"/>
        </w:rPr>
        <w:fldChar w:fldCharType="end"/>
      </w:r>
    </w:p>
    <w:p w:rsidR="00E61253" w:rsidRPr="00546F0A" w:rsidRDefault="00E61253">
      <w:pPr>
        <w:rPr>
          <w:color w:val="585855"/>
          <w:sz w:val="24"/>
          <w:szCs w:val="24"/>
          <w:lang w:val="en-US"/>
        </w:rPr>
      </w:pPr>
    </w:p>
    <w:p w:rsidR="00E61253" w:rsidRPr="00546F0A" w:rsidRDefault="00E61253">
      <w:pPr>
        <w:rPr>
          <w:color w:val="585855"/>
          <w:sz w:val="24"/>
          <w:szCs w:val="24"/>
          <w:lang w:val="en-US"/>
        </w:rPr>
      </w:pPr>
    </w:p>
    <w:p w:rsidR="00E61253" w:rsidRPr="00546F0A" w:rsidRDefault="00E61253">
      <w:pPr>
        <w:rPr>
          <w:color w:val="585855"/>
          <w:sz w:val="24"/>
          <w:szCs w:val="24"/>
          <w:lang w:val="en-US"/>
        </w:rPr>
      </w:pPr>
    </w:p>
    <w:p w:rsidR="00C426C2" w:rsidRPr="00546F0A" w:rsidRDefault="00C426C2">
      <w:pPr>
        <w:rPr>
          <w:color w:val="585855"/>
          <w:sz w:val="24"/>
          <w:szCs w:val="24"/>
          <w:lang w:val="en-US"/>
        </w:rPr>
      </w:pPr>
    </w:p>
    <w:p w:rsidR="00C426C2" w:rsidRPr="00546F0A" w:rsidRDefault="00C426C2">
      <w:pPr>
        <w:rPr>
          <w:color w:val="585855"/>
          <w:sz w:val="24"/>
          <w:szCs w:val="24"/>
          <w:lang w:val="en-US"/>
        </w:rPr>
      </w:pPr>
    </w:p>
    <w:p w:rsidR="00C426C2" w:rsidRPr="00546F0A" w:rsidRDefault="00C426C2">
      <w:pPr>
        <w:rPr>
          <w:color w:val="585855"/>
          <w:sz w:val="24"/>
          <w:szCs w:val="24"/>
          <w:lang w:val="en-US"/>
        </w:rPr>
      </w:pPr>
    </w:p>
    <w:p w:rsidR="00F146C0" w:rsidRPr="00546F0A" w:rsidRDefault="00F146C0">
      <w:pPr>
        <w:rPr>
          <w:color w:val="585855"/>
          <w:sz w:val="24"/>
          <w:szCs w:val="24"/>
          <w:lang w:val="en-US"/>
        </w:rPr>
      </w:pPr>
    </w:p>
    <w:p w:rsidR="006C651F" w:rsidRPr="00546F0A" w:rsidRDefault="006C651F">
      <w:pPr>
        <w:rPr>
          <w:color w:val="585855"/>
          <w:sz w:val="24"/>
          <w:szCs w:val="24"/>
          <w:lang w:val="en-US"/>
        </w:rPr>
      </w:pPr>
    </w:p>
    <w:p w:rsidR="00486E79" w:rsidRPr="00546F0A" w:rsidRDefault="00A10067">
      <w:pPr>
        <w:rPr>
          <w:color w:val="585855"/>
          <w:sz w:val="24"/>
          <w:szCs w:val="24"/>
          <w:lang w:val="en-US"/>
        </w:rPr>
      </w:pPr>
      <w:r w:rsidRPr="00546F0A">
        <w:rPr>
          <w:b/>
          <w:bCs/>
          <w:noProof/>
          <w:sz w:val="28"/>
          <w:lang w:val="en-US" w:eastAsia="en-US"/>
        </w:rPr>
        <w:drawing>
          <wp:anchor distT="0" distB="0" distL="114300" distR="114300" simplePos="0" relativeHeight="251660288" behindDoc="0" locked="0" layoutInCell="1" allowOverlap="1">
            <wp:simplePos x="0" y="0"/>
            <wp:positionH relativeFrom="column">
              <wp:posOffset>-12537</wp:posOffset>
            </wp:positionH>
            <wp:positionV relativeFrom="paragraph">
              <wp:posOffset>122584</wp:posOffset>
            </wp:positionV>
            <wp:extent cx="2805437" cy="470941"/>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fundo EN grijs op wit.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2612" cy="472145"/>
                    </a:xfrm>
                    <a:prstGeom prst="rect">
                      <a:avLst/>
                    </a:prstGeom>
                  </pic:spPr>
                </pic:pic>
              </a:graphicData>
            </a:graphic>
          </wp:anchor>
        </w:drawing>
      </w:r>
    </w:p>
    <w:p w:rsidR="006C651F" w:rsidRPr="00546F0A" w:rsidRDefault="006C651F">
      <w:pPr>
        <w:rPr>
          <w:color w:val="585855"/>
          <w:sz w:val="24"/>
          <w:szCs w:val="24"/>
          <w:lang w:val="en-US"/>
        </w:rPr>
      </w:pPr>
    </w:p>
    <w:p w:rsidR="006C651F" w:rsidRPr="00546F0A" w:rsidRDefault="006C651F">
      <w:pPr>
        <w:rPr>
          <w:color w:val="585855"/>
          <w:sz w:val="24"/>
          <w:szCs w:val="24"/>
          <w:lang w:val="en-US"/>
        </w:rPr>
      </w:pPr>
    </w:p>
    <w:p w:rsidR="00C426C2" w:rsidRPr="00546F0A" w:rsidRDefault="00C426C2">
      <w:pPr>
        <w:rPr>
          <w:b/>
          <w:bCs/>
          <w:color w:val="585855"/>
          <w:sz w:val="24"/>
          <w:szCs w:val="24"/>
          <w:lang w:val="en-US"/>
        </w:rPr>
      </w:pPr>
    </w:p>
    <w:p w:rsidR="00E61253" w:rsidRPr="00546F0A" w:rsidRDefault="00D01B52">
      <w:pPr>
        <w:rPr>
          <w:b/>
          <w:bCs/>
          <w:color w:val="585855"/>
          <w:sz w:val="24"/>
          <w:szCs w:val="24"/>
          <w:lang w:val="en-US"/>
        </w:rPr>
      </w:pPr>
      <w:r w:rsidRPr="00546F0A">
        <w:rPr>
          <w:b/>
          <w:bCs/>
          <w:color w:val="585855"/>
          <w:sz w:val="24"/>
          <w:szCs w:val="24"/>
          <w:lang w:val="en-US"/>
        </w:rPr>
        <w:t>Narita</w:t>
      </w:r>
      <w:r w:rsidR="003C4D25" w:rsidRPr="00546F0A">
        <w:rPr>
          <w:b/>
          <w:bCs/>
          <w:color w:val="585855"/>
          <w:sz w:val="24"/>
          <w:szCs w:val="24"/>
          <w:lang w:val="en-US"/>
        </w:rPr>
        <w:t xml:space="preserve">weg </w:t>
      </w:r>
      <w:r w:rsidRPr="00546F0A">
        <w:rPr>
          <w:b/>
          <w:bCs/>
          <w:color w:val="585855"/>
          <w:sz w:val="24"/>
          <w:szCs w:val="24"/>
          <w:lang w:val="en-US"/>
        </w:rPr>
        <w:t>1</w:t>
      </w:r>
      <w:r w:rsidR="003C4D25" w:rsidRPr="00546F0A">
        <w:rPr>
          <w:b/>
          <w:bCs/>
          <w:color w:val="585855"/>
          <w:sz w:val="24"/>
          <w:szCs w:val="24"/>
          <w:lang w:val="en-US"/>
        </w:rPr>
        <w:t>0</w:t>
      </w:r>
    </w:p>
    <w:p w:rsidR="00E61253" w:rsidRPr="00546F0A" w:rsidRDefault="003C4D25">
      <w:pPr>
        <w:rPr>
          <w:b/>
          <w:bCs/>
          <w:color w:val="585855"/>
          <w:sz w:val="24"/>
          <w:szCs w:val="24"/>
          <w:lang w:val="en-US"/>
        </w:rPr>
      </w:pPr>
      <w:r w:rsidRPr="00546F0A">
        <w:rPr>
          <w:b/>
          <w:bCs/>
          <w:color w:val="585855"/>
          <w:sz w:val="24"/>
          <w:szCs w:val="24"/>
          <w:lang w:val="en-US"/>
        </w:rPr>
        <w:t xml:space="preserve">1043 </w:t>
      </w:r>
      <w:r w:rsidR="00D01B52" w:rsidRPr="00546F0A">
        <w:rPr>
          <w:b/>
          <w:bCs/>
          <w:color w:val="585855"/>
          <w:sz w:val="24"/>
          <w:szCs w:val="24"/>
          <w:lang w:val="en-US"/>
        </w:rPr>
        <w:t>BX</w:t>
      </w:r>
      <w:r w:rsidR="00B32471">
        <w:rPr>
          <w:b/>
          <w:bCs/>
          <w:color w:val="585855"/>
          <w:sz w:val="24"/>
          <w:szCs w:val="24"/>
          <w:lang w:val="en-US"/>
        </w:rPr>
        <w:t xml:space="preserve"> </w:t>
      </w:r>
      <w:r w:rsidRPr="00546F0A">
        <w:rPr>
          <w:b/>
          <w:bCs/>
          <w:color w:val="585855"/>
          <w:sz w:val="24"/>
          <w:szCs w:val="24"/>
          <w:lang w:val="en-US"/>
        </w:rPr>
        <w:t>Amsterdam</w:t>
      </w:r>
    </w:p>
    <w:p w:rsidR="00E61253" w:rsidRPr="00546F0A" w:rsidRDefault="00E61253">
      <w:pPr>
        <w:rPr>
          <w:b/>
          <w:bCs/>
          <w:color w:val="585855"/>
          <w:sz w:val="24"/>
          <w:szCs w:val="24"/>
          <w:lang w:val="en-US"/>
        </w:rPr>
      </w:pPr>
      <w:r w:rsidRPr="00546F0A">
        <w:rPr>
          <w:b/>
          <w:bCs/>
          <w:color w:val="585855"/>
          <w:sz w:val="24"/>
          <w:szCs w:val="24"/>
          <w:lang w:val="en-US"/>
        </w:rPr>
        <w:t>The Netherlands</w:t>
      </w:r>
    </w:p>
    <w:p w:rsidR="00E61253" w:rsidRPr="00546F0A" w:rsidRDefault="00E61253">
      <w:pPr>
        <w:rPr>
          <w:b/>
          <w:bCs/>
          <w:color w:val="585855"/>
          <w:sz w:val="24"/>
          <w:szCs w:val="24"/>
          <w:lang w:val="en-US"/>
        </w:rPr>
      </w:pPr>
      <w:r w:rsidRPr="00546F0A">
        <w:rPr>
          <w:b/>
          <w:bCs/>
          <w:color w:val="585855"/>
          <w:sz w:val="24"/>
          <w:szCs w:val="24"/>
          <w:lang w:val="en-US"/>
        </w:rPr>
        <w:t>Tel: +31</w:t>
      </w:r>
      <w:r w:rsidR="00415768" w:rsidRPr="00546F0A">
        <w:rPr>
          <w:b/>
          <w:bCs/>
          <w:color w:val="585855"/>
          <w:sz w:val="24"/>
          <w:szCs w:val="24"/>
          <w:lang w:val="en-US"/>
        </w:rPr>
        <w:t>-</w:t>
      </w:r>
      <w:r w:rsidR="003C4D25" w:rsidRPr="00546F0A">
        <w:rPr>
          <w:b/>
          <w:bCs/>
          <w:color w:val="585855"/>
          <w:sz w:val="24"/>
          <w:szCs w:val="24"/>
          <w:lang w:val="en-US"/>
        </w:rPr>
        <w:t>20</w:t>
      </w:r>
      <w:r w:rsidR="00415768" w:rsidRPr="00546F0A">
        <w:rPr>
          <w:b/>
          <w:bCs/>
          <w:color w:val="585855"/>
          <w:sz w:val="24"/>
          <w:szCs w:val="24"/>
          <w:lang w:val="en-US"/>
        </w:rPr>
        <w:t>-</w:t>
      </w:r>
      <w:r w:rsidR="003C4D25" w:rsidRPr="00546F0A">
        <w:rPr>
          <w:b/>
          <w:bCs/>
          <w:color w:val="585855"/>
          <w:sz w:val="24"/>
          <w:szCs w:val="24"/>
          <w:lang w:val="en-US"/>
        </w:rPr>
        <w:t>8208320</w:t>
      </w:r>
    </w:p>
    <w:p w:rsidR="00F146C0" w:rsidRPr="00546F0A" w:rsidRDefault="00E61253">
      <w:pPr>
        <w:rPr>
          <w:b/>
          <w:bCs/>
          <w:color w:val="585855"/>
          <w:sz w:val="24"/>
          <w:lang w:val="en-US"/>
        </w:rPr>
      </w:pPr>
      <w:r w:rsidRPr="00546F0A">
        <w:rPr>
          <w:b/>
          <w:bCs/>
          <w:color w:val="585855"/>
          <w:sz w:val="24"/>
          <w:lang w:val="en-US"/>
        </w:rPr>
        <w:t xml:space="preserve">E-mail: </w:t>
      </w:r>
      <w:r w:rsidR="00CF68F1" w:rsidRPr="00546F0A">
        <w:rPr>
          <w:b/>
          <w:bCs/>
          <w:color w:val="585855"/>
          <w:sz w:val="24"/>
          <w:lang w:val="en-US"/>
        </w:rPr>
        <w:t>profundo</w:t>
      </w:r>
      <w:r w:rsidRPr="00546F0A">
        <w:rPr>
          <w:b/>
          <w:bCs/>
          <w:color w:val="585855"/>
          <w:sz w:val="24"/>
          <w:lang w:val="en-US"/>
        </w:rPr>
        <w:t>@profundo.</w:t>
      </w:r>
      <w:r w:rsidR="00F146C0" w:rsidRPr="00546F0A">
        <w:rPr>
          <w:b/>
          <w:bCs/>
          <w:color w:val="585855"/>
          <w:sz w:val="24"/>
          <w:lang w:val="en-US"/>
        </w:rPr>
        <w:t>nl</w:t>
      </w:r>
    </w:p>
    <w:p w:rsidR="00F146C0" w:rsidRPr="00546F0A" w:rsidRDefault="00F146C0">
      <w:pPr>
        <w:rPr>
          <w:b/>
          <w:bCs/>
          <w:color w:val="585855"/>
          <w:sz w:val="24"/>
          <w:lang w:val="en-US"/>
        </w:rPr>
      </w:pPr>
      <w:r w:rsidRPr="00546F0A">
        <w:rPr>
          <w:b/>
          <w:bCs/>
          <w:color w:val="585855"/>
          <w:sz w:val="24"/>
          <w:lang w:val="en-US"/>
        </w:rPr>
        <w:t>Website: www.profundo.</w:t>
      </w:r>
      <w:r w:rsidR="00E61253" w:rsidRPr="00546F0A">
        <w:rPr>
          <w:b/>
          <w:bCs/>
          <w:color w:val="585855"/>
          <w:sz w:val="24"/>
          <w:lang w:val="en-US"/>
        </w:rPr>
        <w:t>nl</w:t>
      </w:r>
    </w:p>
    <w:p w:rsidR="00F146C0" w:rsidRPr="00546F0A" w:rsidRDefault="00F146C0">
      <w:pPr>
        <w:rPr>
          <w:b/>
          <w:bCs/>
          <w:sz w:val="24"/>
          <w:lang w:val="en-US"/>
        </w:rPr>
        <w:sectPr w:rsidR="00F146C0" w:rsidRPr="00546F0A" w:rsidSect="00415768">
          <w:endnotePr>
            <w:numFmt w:val="decimal"/>
          </w:endnotePr>
          <w:pgSz w:w="11905" w:h="16837"/>
          <w:pgMar w:top="3686" w:right="1701" w:bottom="1701" w:left="1701" w:header="851" w:footer="851" w:gutter="0"/>
          <w:cols w:space="708"/>
          <w:noEndnote/>
          <w:docGrid w:linePitch="88"/>
        </w:sectPr>
      </w:pPr>
    </w:p>
    <w:p w:rsidR="00E61253" w:rsidRPr="00546F0A" w:rsidRDefault="00E61253" w:rsidP="006B0B8C">
      <w:pPr>
        <w:jc w:val="center"/>
        <w:rPr>
          <w:b/>
          <w:bCs/>
          <w:color w:val="9FCB3B"/>
          <w:sz w:val="28"/>
          <w:lang w:val="en-US"/>
        </w:rPr>
      </w:pPr>
      <w:r w:rsidRPr="00546F0A">
        <w:rPr>
          <w:b/>
          <w:bCs/>
          <w:color w:val="9FCB3B"/>
          <w:sz w:val="28"/>
          <w:lang w:val="en-US"/>
        </w:rPr>
        <w:lastRenderedPageBreak/>
        <w:t>Contents</w:t>
      </w:r>
    </w:p>
    <w:p w:rsidR="00E61253" w:rsidRPr="00546F0A" w:rsidRDefault="00E61253">
      <w:pPr>
        <w:rPr>
          <w:lang w:val="en-US"/>
        </w:rPr>
      </w:pPr>
    </w:p>
    <w:p w:rsidR="00E61253" w:rsidRPr="00546F0A" w:rsidRDefault="00E61253">
      <w:pPr>
        <w:rPr>
          <w:lang w:val="en-US"/>
        </w:rPr>
      </w:pPr>
    </w:p>
    <w:p w:rsidR="007F1ABB" w:rsidRDefault="00E55126">
      <w:pPr>
        <w:pStyle w:val="TOC4"/>
        <w:rPr>
          <w:rFonts w:asciiTheme="minorHAnsi" w:eastAsiaTheme="minorEastAsia" w:hAnsiTheme="minorHAnsi" w:cstheme="minorBidi"/>
          <w:b w:val="0"/>
          <w:noProof/>
          <w:sz w:val="22"/>
          <w:szCs w:val="22"/>
          <w:lang w:eastAsia="en-GB"/>
        </w:rPr>
      </w:pPr>
      <w:r w:rsidRPr="00E55126">
        <w:rPr>
          <w:lang w:val="en-US"/>
        </w:rPr>
        <w:fldChar w:fldCharType="begin"/>
      </w:r>
      <w:r w:rsidR="004723FD" w:rsidRPr="00546F0A">
        <w:rPr>
          <w:lang w:val="en-US"/>
        </w:rPr>
        <w:instrText xml:space="preserve"> TOC \o "1-4" \h \z \t "Bijlage;4" </w:instrText>
      </w:r>
      <w:r w:rsidRPr="00E55126">
        <w:rPr>
          <w:lang w:val="en-US"/>
        </w:rPr>
        <w:fldChar w:fldCharType="separate"/>
      </w:r>
      <w:hyperlink w:anchor="_Toc365554322" w:history="1">
        <w:r w:rsidR="007F1ABB" w:rsidRPr="001753D7">
          <w:rPr>
            <w:rStyle w:val="Hyperlink"/>
            <w:noProof/>
            <w:lang w:val="en-US"/>
          </w:rPr>
          <w:t>Summary</w:t>
        </w:r>
        <w:r w:rsidR="007F1ABB">
          <w:rPr>
            <w:noProof/>
            <w:webHidden/>
          </w:rPr>
          <w:tab/>
        </w:r>
        <w:r>
          <w:rPr>
            <w:noProof/>
            <w:webHidden/>
          </w:rPr>
          <w:fldChar w:fldCharType="begin"/>
        </w:r>
        <w:r w:rsidR="007F1ABB">
          <w:rPr>
            <w:noProof/>
            <w:webHidden/>
          </w:rPr>
          <w:instrText xml:space="preserve"> PAGEREF _Toc365554322 \h </w:instrText>
        </w:r>
        <w:r>
          <w:rPr>
            <w:noProof/>
            <w:webHidden/>
          </w:rPr>
        </w:r>
        <w:r>
          <w:rPr>
            <w:noProof/>
            <w:webHidden/>
          </w:rPr>
          <w:fldChar w:fldCharType="separate"/>
        </w:r>
        <w:r w:rsidR="00D74F7E">
          <w:rPr>
            <w:noProof/>
            <w:webHidden/>
          </w:rPr>
          <w:t>i</w:t>
        </w:r>
        <w:r>
          <w:rPr>
            <w:noProof/>
            <w:webHidden/>
          </w:rPr>
          <w:fldChar w:fldCharType="end"/>
        </w:r>
      </w:hyperlink>
    </w:p>
    <w:p w:rsidR="007F1ABB" w:rsidRDefault="00E55126">
      <w:pPr>
        <w:pStyle w:val="TOC4"/>
        <w:rPr>
          <w:rFonts w:asciiTheme="minorHAnsi" w:eastAsiaTheme="minorEastAsia" w:hAnsiTheme="minorHAnsi" w:cstheme="minorBidi"/>
          <w:b w:val="0"/>
          <w:noProof/>
          <w:sz w:val="22"/>
          <w:szCs w:val="22"/>
          <w:lang w:eastAsia="en-GB"/>
        </w:rPr>
      </w:pPr>
      <w:hyperlink w:anchor="_Toc365554323" w:history="1">
        <w:r w:rsidR="007F1ABB" w:rsidRPr="001753D7">
          <w:rPr>
            <w:rStyle w:val="Hyperlink"/>
            <w:noProof/>
            <w:lang w:val="en-US"/>
          </w:rPr>
          <w:t>Introduction</w:t>
        </w:r>
        <w:r w:rsidR="007F1ABB">
          <w:rPr>
            <w:noProof/>
            <w:webHidden/>
          </w:rPr>
          <w:tab/>
        </w:r>
        <w:r>
          <w:rPr>
            <w:noProof/>
            <w:webHidden/>
          </w:rPr>
          <w:fldChar w:fldCharType="begin"/>
        </w:r>
        <w:r w:rsidR="007F1ABB">
          <w:rPr>
            <w:noProof/>
            <w:webHidden/>
          </w:rPr>
          <w:instrText xml:space="preserve"> PAGEREF _Toc365554323 \h </w:instrText>
        </w:r>
        <w:r>
          <w:rPr>
            <w:noProof/>
            <w:webHidden/>
          </w:rPr>
        </w:r>
        <w:r>
          <w:rPr>
            <w:noProof/>
            <w:webHidden/>
          </w:rPr>
          <w:fldChar w:fldCharType="separate"/>
        </w:r>
        <w:r w:rsidR="00D74F7E">
          <w:rPr>
            <w:noProof/>
            <w:webHidden/>
          </w:rPr>
          <w:t>1</w:t>
        </w:r>
        <w:r>
          <w:rPr>
            <w:noProof/>
            <w:webHidden/>
          </w:rPr>
          <w:fldChar w:fldCharType="end"/>
        </w:r>
      </w:hyperlink>
    </w:p>
    <w:p w:rsidR="007F1ABB" w:rsidRDefault="00E55126">
      <w:pPr>
        <w:pStyle w:val="TOC1"/>
        <w:rPr>
          <w:rFonts w:asciiTheme="minorHAnsi" w:eastAsiaTheme="minorEastAsia" w:hAnsiTheme="minorHAnsi" w:cstheme="minorBidi"/>
          <w:b w:val="0"/>
          <w:noProof/>
          <w:sz w:val="22"/>
          <w:szCs w:val="22"/>
          <w:lang w:eastAsia="en-GB"/>
        </w:rPr>
      </w:pPr>
      <w:hyperlink w:anchor="_Toc365554324" w:history="1">
        <w:r w:rsidR="007F1ABB" w:rsidRPr="001753D7">
          <w:rPr>
            <w:rStyle w:val="Hyperlink"/>
            <w:noProof/>
            <w:lang w:val="en-US"/>
          </w:rPr>
          <w:t>Chapter 1</w:t>
        </w:r>
        <w:r w:rsidR="007F1ABB">
          <w:rPr>
            <w:rFonts w:asciiTheme="minorHAnsi" w:eastAsiaTheme="minorEastAsia" w:hAnsiTheme="minorHAnsi" w:cstheme="minorBidi"/>
            <w:b w:val="0"/>
            <w:noProof/>
            <w:sz w:val="22"/>
            <w:szCs w:val="22"/>
            <w:lang w:eastAsia="en-GB"/>
          </w:rPr>
          <w:tab/>
        </w:r>
        <w:r w:rsidR="007F1ABB" w:rsidRPr="001753D7">
          <w:rPr>
            <w:rStyle w:val="Hyperlink"/>
            <w:noProof/>
            <w:lang w:val="en-US"/>
          </w:rPr>
          <w:t>Methodology</w:t>
        </w:r>
        <w:r w:rsidR="007F1ABB">
          <w:rPr>
            <w:noProof/>
            <w:webHidden/>
          </w:rPr>
          <w:tab/>
        </w:r>
        <w:r>
          <w:rPr>
            <w:noProof/>
            <w:webHidden/>
          </w:rPr>
          <w:fldChar w:fldCharType="begin"/>
        </w:r>
        <w:r w:rsidR="007F1ABB">
          <w:rPr>
            <w:noProof/>
            <w:webHidden/>
          </w:rPr>
          <w:instrText xml:space="preserve"> PAGEREF _Toc365554324 \h </w:instrText>
        </w:r>
        <w:r>
          <w:rPr>
            <w:noProof/>
            <w:webHidden/>
          </w:rPr>
        </w:r>
        <w:r>
          <w:rPr>
            <w:noProof/>
            <w:webHidden/>
          </w:rPr>
          <w:fldChar w:fldCharType="separate"/>
        </w:r>
        <w:r w:rsidR="00D74F7E">
          <w:rPr>
            <w:noProof/>
            <w:webHidden/>
          </w:rPr>
          <w:t>2</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25" w:history="1">
        <w:r w:rsidR="007F1ABB" w:rsidRPr="001753D7">
          <w:rPr>
            <w:rStyle w:val="Hyperlink"/>
            <w:noProof/>
            <w:lang w:val="en-US"/>
          </w:rPr>
          <w:t>1.1</w:t>
        </w:r>
        <w:r w:rsidR="007F1ABB">
          <w:rPr>
            <w:rFonts w:asciiTheme="minorHAnsi" w:eastAsiaTheme="minorEastAsia" w:hAnsiTheme="minorHAnsi" w:cstheme="minorBidi"/>
            <w:b w:val="0"/>
            <w:noProof/>
            <w:lang w:eastAsia="en-GB"/>
          </w:rPr>
          <w:tab/>
        </w:r>
        <w:r w:rsidR="007F1ABB" w:rsidRPr="001753D7">
          <w:rPr>
            <w:rStyle w:val="Hyperlink"/>
            <w:noProof/>
            <w:lang w:val="en-US"/>
          </w:rPr>
          <w:t>Research objective</w:t>
        </w:r>
        <w:r w:rsidR="007F1ABB">
          <w:rPr>
            <w:noProof/>
            <w:webHidden/>
          </w:rPr>
          <w:tab/>
        </w:r>
        <w:r>
          <w:rPr>
            <w:noProof/>
            <w:webHidden/>
          </w:rPr>
          <w:fldChar w:fldCharType="begin"/>
        </w:r>
        <w:r w:rsidR="007F1ABB">
          <w:rPr>
            <w:noProof/>
            <w:webHidden/>
          </w:rPr>
          <w:instrText xml:space="preserve"> PAGEREF _Toc365554325 \h </w:instrText>
        </w:r>
        <w:r>
          <w:rPr>
            <w:noProof/>
            <w:webHidden/>
          </w:rPr>
        </w:r>
        <w:r>
          <w:rPr>
            <w:noProof/>
            <w:webHidden/>
          </w:rPr>
          <w:fldChar w:fldCharType="separate"/>
        </w:r>
        <w:r w:rsidR="00D74F7E">
          <w:rPr>
            <w:noProof/>
            <w:webHidden/>
          </w:rPr>
          <w:t>2</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26" w:history="1">
        <w:r w:rsidR="007F1ABB" w:rsidRPr="001753D7">
          <w:rPr>
            <w:rStyle w:val="Hyperlink"/>
            <w:noProof/>
            <w:lang w:val="en-US"/>
          </w:rPr>
          <w:t>1.2</w:t>
        </w:r>
        <w:r w:rsidR="007F1ABB">
          <w:rPr>
            <w:rFonts w:asciiTheme="minorHAnsi" w:eastAsiaTheme="minorEastAsia" w:hAnsiTheme="minorHAnsi" w:cstheme="minorBidi"/>
            <w:b w:val="0"/>
            <w:noProof/>
            <w:lang w:eastAsia="en-GB"/>
          </w:rPr>
          <w:tab/>
        </w:r>
        <w:r w:rsidR="007F1ABB" w:rsidRPr="001753D7">
          <w:rPr>
            <w:rStyle w:val="Hyperlink"/>
            <w:noProof/>
            <w:lang w:val="en-US"/>
          </w:rPr>
          <w:t>Selection of financial institutions</w:t>
        </w:r>
        <w:r w:rsidR="007F1ABB">
          <w:rPr>
            <w:noProof/>
            <w:webHidden/>
          </w:rPr>
          <w:tab/>
        </w:r>
        <w:r>
          <w:rPr>
            <w:noProof/>
            <w:webHidden/>
          </w:rPr>
          <w:fldChar w:fldCharType="begin"/>
        </w:r>
        <w:r w:rsidR="007F1ABB">
          <w:rPr>
            <w:noProof/>
            <w:webHidden/>
          </w:rPr>
          <w:instrText xml:space="preserve"> PAGEREF _Toc365554326 \h </w:instrText>
        </w:r>
        <w:r>
          <w:rPr>
            <w:noProof/>
            <w:webHidden/>
          </w:rPr>
        </w:r>
        <w:r>
          <w:rPr>
            <w:noProof/>
            <w:webHidden/>
          </w:rPr>
          <w:fldChar w:fldCharType="separate"/>
        </w:r>
        <w:r w:rsidR="00D74F7E">
          <w:rPr>
            <w:noProof/>
            <w:webHidden/>
          </w:rPr>
          <w:t>2</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27" w:history="1">
        <w:r w:rsidR="007F1ABB" w:rsidRPr="001753D7">
          <w:rPr>
            <w:rStyle w:val="Hyperlink"/>
            <w:noProof/>
            <w:lang w:val="en-US"/>
          </w:rPr>
          <w:t>1.3</w:t>
        </w:r>
        <w:r w:rsidR="007F1ABB">
          <w:rPr>
            <w:rFonts w:asciiTheme="minorHAnsi" w:eastAsiaTheme="minorEastAsia" w:hAnsiTheme="minorHAnsi" w:cstheme="minorBidi"/>
            <w:b w:val="0"/>
            <w:noProof/>
            <w:lang w:eastAsia="en-GB"/>
          </w:rPr>
          <w:tab/>
        </w:r>
        <w:r w:rsidR="007F1ABB" w:rsidRPr="001753D7">
          <w:rPr>
            <w:rStyle w:val="Hyperlink"/>
            <w:noProof/>
            <w:lang w:val="en-US"/>
          </w:rPr>
          <w:t>Selection of food companies</w:t>
        </w:r>
        <w:r w:rsidR="007F1ABB">
          <w:rPr>
            <w:noProof/>
            <w:webHidden/>
          </w:rPr>
          <w:tab/>
        </w:r>
        <w:r>
          <w:rPr>
            <w:noProof/>
            <w:webHidden/>
          </w:rPr>
          <w:fldChar w:fldCharType="begin"/>
        </w:r>
        <w:r w:rsidR="007F1ABB">
          <w:rPr>
            <w:noProof/>
            <w:webHidden/>
          </w:rPr>
          <w:instrText xml:space="preserve"> PAGEREF _Toc365554327 \h </w:instrText>
        </w:r>
        <w:r>
          <w:rPr>
            <w:noProof/>
            <w:webHidden/>
          </w:rPr>
        </w:r>
        <w:r>
          <w:rPr>
            <w:noProof/>
            <w:webHidden/>
          </w:rPr>
          <w:fldChar w:fldCharType="separate"/>
        </w:r>
        <w:r w:rsidR="00D74F7E">
          <w:rPr>
            <w:noProof/>
            <w:webHidden/>
          </w:rPr>
          <w:t>2</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28" w:history="1">
        <w:r w:rsidR="007F1ABB" w:rsidRPr="001753D7">
          <w:rPr>
            <w:rStyle w:val="Hyperlink"/>
            <w:noProof/>
          </w:rPr>
          <w:t>1.4</w:t>
        </w:r>
        <w:r w:rsidR="007F1ABB">
          <w:rPr>
            <w:rFonts w:asciiTheme="minorHAnsi" w:eastAsiaTheme="minorEastAsia" w:hAnsiTheme="minorHAnsi" w:cstheme="minorBidi"/>
            <w:b w:val="0"/>
            <w:noProof/>
            <w:lang w:eastAsia="en-GB"/>
          </w:rPr>
          <w:tab/>
        </w:r>
        <w:r w:rsidR="007F1ABB" w:rsidRPr="001753D7">
          <w:rPr>
            <w:rStyle w:val="Hyperlink"/>
            <w:noProof/>
          </w:rPr>
          <w:t>Forms of financing researched</w:t>
        </w:r>
        <w:r w:rsidR="007F1ABB">
          <w:rPr>
            <w:noProof/>
            <w:webHidden/>
          </w:rPr>
          <w:tab/>
        </w:r>
        <w:r>
          <w:rPr>
            <w:noProof/>
            <w:webHidden/>
          </w:rPr>
          <w:fldChar w:fldCharType="begin"/>
        </w:r>
        <w:r w:rsidR="007F1ABB">
          <w:rPr>
            <w:noProof/>
            <w:webHidden/>
          </w:rPr>
          <w:instrText xml:space="preserve"> PAGEREF _Toc365554328 \h </w:instrText>
        </w:r>
        <w:r>
          <w:rPr>
            <w:noProof/>
            <w:webHidden/>
          </w:rPr>
        </w:r>
        <w:r>
          <w:rPr>
            <w:noProof/>
            <w:webHidden/>
          </w:rPr>
          <w:fldChar w:fldCharType="separate"/>
        </w:r>
        <w:r w:rsidR="00D74F7E">
          <w:rPr>
            <w:noProof/>
            <w:webHidden/>
          </w:rPr>
          <w:t>3</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29" w:history="1">
        <w:r w:rsidR="007F1ABB" w:rsidRPr="001753D7">
          <w:rPr>
            <w:rStyle w:val="Hyperlink"/>
            <w:noProof/>
          </w:rPr>
          <w:t>1.5</w:t>
        </w:r>
        <w:r w:rsidR="007F1ABB">
          <w:rPr>
            <w:rFonts w:asciiTheme="minorHAnsi" w:eastAsiaTheme="minorEastAsia" w:hAnsiTheme="minorHAnsi" w:cstheme="minorBidi"/>
            <w:b w:val="0"/>
            <w:noProof/>
            <w:lang w:eastAsia="en-GB"/>
          </w:rPr>
          <w:tab/>
        </w:r>
        <w:r w:rsidR="007F1ABB" w:rsidRPr="001753D7">
          <w:rPr>
            <w:rStyle w:val="Hyperlink"/>
            <w:noProof/>
          </w:rPr>
          <w:t>Research period and threshold</w:t>
        </w:r>
        <w:r w:rsidR="007F1ABB">
          <w:rPr>
            <w:noProof/>
            <w:webHidden/>
          </w:rPr>
          <w:tab/>
        </w:r>
        <w:r>
          <w:rPr>
            <w:noProof/>
            <w:webHidden/>
          </w:rPr>
          <w:fldChar w:fldCharType="begin"/>
        </w:r>
        <w:r w:rsidR="007F1ABB">
          <w:rPr>
            <w:noProof/>
            <w:webHidden/>
          </w:rPr>
          <w:instrText xml:space="preserve"> PAGEREF _Toc365554329 \h </w:instrText>
        </w:r>
        <w:r>
          <w:rPr>
            <w:noProof/>
            <w:webHidden/>
          </w:rPr>
        </w:r>
        <w:r>
          <w:rPr>
            <w:noProof/>
            <w:webHidden/>
          </w:rPr>
          <w:fldChar w:fldCharType="separate"/>
        </w:r>
        <w:r w:rsidR="00D74F7E">
          <w:rPr>
            <w:noProof/>
            <w:webHidden/>
          </w:rPr>
          <w:t>4</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30" w:history="1">
        <w:r w:rsidR="007F1ABB" w:rsidRPr="001753D7">
          <w:rPr>
            <w:rStyle w:val="Hyperlink"/>
            <w:noProof/>
          </w:rPr>
          <w:t>1.6</w:t>
        </w:r>
        <w:r w:rsidR="007F1ABB">
          <w:rPr>
            <w:rFonts w:asciiTheme="minorHAnsi" w:eastAsiaTheme="minorEastAsia" w:hAnsiTheme="minorHAnsi" w:cstheme="minorBidi"/>
            <w:b w:val="0"/>
            <w:noProof/>
            <w:lang w:eastAsia="en-GB"/>
          </w:rPr>
          <w:tab/>
        </w:r>
        <w:r w:rsidR="007F1ABB" w:rsidRPr="001753D7">
          <w:rPr>
            <w:rStyle w:val="Hyperlink"/>
            <w:noProof/>
          </w:rPr>
          <w:t>Information sources and estimates used</w:t>
        </w:r>
        <w:r w:rsidR="007F1ABB">
          <w:rPr>
            <w:noProof/>
            <w:webHidden/>
          </w:rPr>
          <w:tab/>
        </w:r>
        <w:r>
          <w:rPr>
            <w:noProof/>
            <w:webHidden/>
          </w:rPr>
          <w:fldChar w:fldCharType="begin"/>
        </w:r>
        <w:r w:rsidR="007F1ABB">
          <w:rPr>
            <w:noProof/>
            <w:webHidden/>
          </w:rPr>
          <w:instrText xml:space="preserve"> PAGEREF _Toc365554330 \h </w:instrText>
        </w:r>
        <w:r>
          <w:rPr>
            <w:noProof/>
            <w:webHidden/>
          </w:rPr>
        </w:r>
        <w:r>
          <w:rPr>
            <w:noProof/>
            <w:webHidden/>
          </w:rPr>
          <w:fldChar w:fldCharType="separate"/>
        </w:r>
        <w:r w:rsidR="00D74F7E">
          <w:rPr>
            <w:noProof/>
            <w:webHidden/>
          </w:rPr>
          <w:t>4</w:t>
        </w:r>
        <w:r>
          <w:rPr>
            <w:noProof/>
            <w:webHidden/>
          </w:rPr>
          <w:fldChar w:fldCharType="end"/>
        </w:r>
      </w:hyperlink>
    </w:p>
    <w:p w:rsidR="007F1ABB" w:rsidRDefault="00E55126">
      <w:pPr>
        <w:pStyle w:val="TOC1"/>
        <w:rPr>
          <w:rFonts w:asciiTheme="minorHAnsi" w:eastAsiaTheme="minorEastAsia" w:hAnsiTheme="minorHAnsi" w:cstheme="minorBidi"/>
          <w:b w:val="0"/>
          <w:noProof/>
          <w:sz w:val="22"/>
          <w:szCs w:val="22"/>
          <w:lang w:eastAsia="en-GB"/>
        </w:rPr>
      </w:pPr>
      <w:hyperlink w:anchor="_Toc365554331" w:history="1">
        <w:r w:rsidR="007F1ABB" w:rsidRPr="001753D7">
          <w:rPr>
            <w:rStyle w:val="Hyperlink"/>
            <w:noProof/>
            <w:lang w:val="en-US"/>
          </w:rPr>
          <w:t>Chapter 2</w:t>
        </w:r>
        <w:r w:rsidR="007F1ABB">
          <w:rPr>
            <w:rFonts w:asciiTheme="minorHAnsi" w:eastAsiaTheme="minorEastAsia" w:hAnsiTheme="minorHAnsi" w:cstheme="minorBidi"/>
            <w:b w:val="0"/>
            <w:noProof/>
            <w:sz w:val="22"/>
            <w:szCs w:val="22"/>
            <w:lang w:eastAsia="en-GB"/>
          </w:rPr>
          <w:tab/>
        </w:r>
        <w:r w:rsidR="007F1ABB" w:rsidRPr="001753D7">
          <w:rPr>
            <w:rStyle w:val="Hyperlink"/>
            <w:noProof/>
            <w:lang w:val="en-US"/>
          </w:rPr>
          <w:t>ABN Amro</w:t>
        </w:r>
        <w:r w:rsidR="007F1ABB">
          <w:rPr>
            <w:noProof/>
            <w:webHidden/>
          </w:rPr>
          <w:tab/>
        </w:r>
        <w:r>
          <w:rPr>
            <w:noProof/>
            <w:webHidden/>
          </w:rPr>
          <w:fldChar w:fldCharType="begin"/>
        </w:r>
        <w:r w:rsidR="007F1ABB">
          <w:rPr>
            <w:noProof/>
            <w:webHidden/>
          </w:rPr>
          <w:instrText xml:space="preserve"> PAGEREF _Toc365554331 \h </w:instrText>
        </w:r>
        <w:r>
          <w:rPr>
            <w:noProof/>
            <w:webHidden/>
          </w:rPr>
        </w:r>
        <w:r>
          <w:rPr>
            <w:noProof/>
            <w:webHidden/>
          </w:rPr>
          <w:fldChar w:fldCharType="separate"/>
        </w:r>
        <w:r w:rsidR="00D74F7E">
          <w:rPr>
            <w:noProof/>
            <w:webHidden/>
          </w:rPr>
          <w:t>5</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32" w:history="1">
        <w:r w:rsidR="007F1ABB" w:rsidRPr="001753D7">
          <w:rPr>
            <w:rStyle w:val="Hyperlink"/>
            <w:noProof/>
            <w:lang w:val="en-US"/>
          </w:rPr>
          <w:t>2.1</w:t>
        </w:r>
        <w:r w:rsidR="007F1ABB">
          <w:rPr>
            <w:rFonts w:asciiTheme="minorHAnsi" w:eastAsiaTheme="minorEastAsia" w:hAnsiTheme="minorHAnsi" w:cstheme="minorBidi"/>
            <w:b w:val="0"/>
            <w:noProof/>
            <w:lang w:eastAsia="en-GB"/>
          </w:rPr>
          <w:tab/>
        </w:r>
        <w:r w:rsidR="007F1ABB" w:rsidRPr="001753D7">
          <w:rPr>
            <w:rStyle w:val="Hyperlink"/>
            <w:noProof/>
            <w:lang w:val="en-US"/>
          </w:rPr>
          <w:t>Shareholdings</w:t>
        </w:r>
        <w:r w:rsidR="007F1ABB">
          <w:rPr>
            <w:noProof/>
            <w:webHidden/>
          </w:rPr>
          <w:tab/>
        </w:r>
        <w:r>
          <w:rPr>
            <w:noProof/>
            <w:webHidden/>
          </w:rPr>
          <w:fldChar w:fldCharType="begin"/>
        </w:r>
        <w:r w:rsidR="007F1ABB">
          <w:rPr>
            <w:noProof/>
            <w:webHidden/>
          </w:rPr>
          <w:instrText xml:space="preserve"> PAGEREF _Toc365554332 \h </w:instrText>
        </w:r>
        <w:r>
          <w:rPr>
            <w:noProof/>
            <w:webHidden/>
          </w:rPr>
        </w:r>
        <w:r>
          <w:rPr>
            <w:noProof/>
            <w:webHidden/>
          </w:rPr>
          <w:fldChar w:fldCharType="separate"/>
        </w:r>
        <w:r w:rsidR="00D74F7E">
          <w:rPr>
            <w:noProof/>
            <w:webHidden/>
          </w:rPr>
          <w:t>5</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33" w:history="1">
        <w:r w:rsidR="007F1ABB" w:rsidRPr="001753D7">
          <w:rPr>
            <w:rStyle w:val="Hyperlink"/>
            <w:noProof/>
            <w:lang w:val="en-US"/>
          </w:rPr>
          <w:t>2.2</w:t>
        </w:r>
        <w:r w:rsidR="007F1ABB">
          <w:rPr>
            <w:rFonts w:asciiTheme="minorHAnsi" w:eastAsiaTheme="minorEastAsia" w:hAnsiTheme="minorHAnsi" w:cstheme="minorBidi"/>
            <w:b w:val="0"/>
            <w:noProof/>
            <w:lang w:eastAsia="en-GB"/>
          </w:rPr>
          <w:tab/>
        </w:r>
        <w:r w:rsidR="007F1ABB" w:rsidRPr="001753D7">
          <w:rPr>
            <w:rStyle w:val="Hyperlink"/>
            <w:noProof/>
            <w:lang w:val="en-US"/>
          </w:rPr>
          <w:t>Share issuances</w:t>
        </w:r>
        <w:r w:rsidR="007F1ABB">
          <w:rPr>
            <w:noProof/>
            <w:webHidden/>
          </w:rPr>
          <w:tab/>
        </w:r>
        <w:r>
          <w:rPr>
            <w:noProof/>
            <w:webHidden/>
          </w:rPr>
          <w:fldChar w:fldCharType="begin"/>
        </w:r>
        <w:r w:rsidR="007F1ABB">
          <w:rPr>
            <w:noProof/>
            <w:webHidden/>
          </w:rPr>
          <w:instrText xml:space="preserve"> PAGEREF _Toc365554333 \h </w:instrText>
        </w:r>
        <w:r>
          <w:rPr>
            <w:noProof/>
            <w:webHidden/>
          </w:rPr>
        </w:r>
        <w:r>
          <w:rPr>
            <w:noProof/>
            <w:webHidden/>
          </w:rPr>
          <w:fldChar w:fldCharType="separate"/>
        </w:r>
        <w:r w:rsidR="00D74F7E">
          <w:rPr>
            <w:noProof/>
            <w:webHidden/>
          </w:rPr>
          <w:t>5</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34" w:history="1">
        <w:r w:rsidR="007F1ABB" w:rsidRPr="001753D7">
          <w:rPr>
            <w:rStyle w:val="Hyperlink"/>
            <w:noProof/>
            <w:lang w:val="en-US"/>
          </w:rPr>
          <w:t>2.3</w:t>
        </w:r>
        <w:r w:rsidR="007F1ABB">
          <w:rPr>
            <w:rFonts w:asciiTheme="minorHAnsi" w:eastAsiaTheme="minorEastAsia" w:hAnsiTheme="minorHAnsi" w:cstheme="minorBidi"/>
            <w:b w:val="0"/>
            <w:noProof/>
            <w:lang w:eastAsia="en-GB"/>
          </w:rPr>
          <w:tab/>
        </w:r>
        <w:r w:rsidR="007F1ABB" w:rsidRPr="001753D7">
          <w:rPr>
            <w:rStyle w:val="Hyperlink"/>
            <w:noProof/>
            <w:lang w:val="en-US"/>
          </w:rPr>
          <w:t>Bondholdings</w:t>
        </w:r>
        <w:r w:rsidR="007F1ABB">
          <w:rPr>
            <w:noProof/>
            <w:webHidden/>
          </w:rPr>
          <w:tab/>
        </w:r>
        <w:r>
          <w:rPr>
            <w:noProof/>
            <w:webHidden/>
          </w:rPr>
          <w:fldChar w:fldCharType="begin"/>
        </w:r>
        <w:r w:rsidR="007F1ABB">
          <w:rPr>
            <w:noProof/>
            <w:webHidden/>
          </w:rPr>
          <w:instrText xml:space="preserve"> PAGEREF _Toc365554334 \h </w:instrText>
        </w:r>
        <w:r>
          <w:rPr>
            <w:noProof/>
            <w:webHidden/>
          </w:rPr>
        </w:r>
        <w:r>
          <w:rPr>
            <w:noProof/>
            <w:webHidden/>
          </w:rPr>
          <w:fldChar w:fldCharType="separate"/>
        </w:r>
        <w:r w:rsidR="00D74F7E">
          <w:rPr>
            <w:noProof/>
            <w:webHidden/>
          </w:rPr>
          <w:t>5</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35" w:history="1">
        <w:r w:rsidR="007F1ABB" w:rsidRPr="001753D7">
          <w:rPr>
            <w:rStyle w:val="Hyperlink"/>
            <w:noProof/>
            <w:lang w:val="en-US"/>
          </w:rPr>
          <w:t>2.4</w:t>
        </w:r>
        <w:r w:rsidR="007F1ABB">
          <w:rPr>
            <w:rFonts w:asciiTheme="minorHAnsi" w:eastAsiaTheme="minorEastAsia" w:hAnsiTheme="minorHAnsi" w:cstheme="minorBidi"/>
            <w:b w:val="0"/>
            <w:noProof/>
            <w:lang w:eastAsia="en-GB"/>
          </w:rPr>
          <w:tab/>
        </w:r>
        <w:r w:rsidR="007F1ABB" w:rsidRPr="001753D7">
          <w:rPr>
            <w:rStyle w:val="Hyperlink"/>
            <w:noProof/>
            <w:lang w:val="en-US"/>
          </w:rPr>
          <w:t>Bond issuances</w:t>
        </w:r>
        <w:r w:rsidR="007F1ABB">
          <w:rPr>
            <w:noProof/>
            <w:webHidden/>
          </w:rPr>
          <w:tab/>
        </w:r>
        <w:r>
          <w:rPr>
            <w:noProof/>
            <w:webHidden/>
          </w:rPr>
          <w:fldChar w:fldCharType="begin"/>
        </w:r>
        <w:r w:rsidR="007F1ABB">
          <w:rPr>
            <w:noProof/>
            <w:webHidden/>
          </w:rPr>
          <w:instrText xml:space="preserve"> PAGEREF _Toc365554335 \h </w:instrText>
        </w:r>
        <w:r>
          <w:rPr>
            <w:noProof/>
            <w:webHidden/>
          </w:rPr>
        </w:r>
        <w:r>
          <w:rPr>
            <w:noProof/>
            <w:webHidden/>
          </w:rPr>
          <w:fldChar w:fldCharType="separate"/>
        </w:r>
        <w:r w:rsidR="00D74F7E">
          <w:rPr>
            <w:noProof/>
            <w:webHidden/>
          </w:rPr>
          <w:t>5</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36" w:history="1">
        <w:r w:rsidR="007F1ABB" w:rsidRPr="001753D7">
          <w:rPr>
            <w:rStyle w:val="Hyperlink"/>
            <w:noProof/>
            <w:lang w:val="en-US"/>
          </w:rPr>
          <w:t>2.5</w:t>
        </w:r>
        <w:r w:rsidR="007F1ABB">
          <w:rPr>
            <w:rFonts w:asciiTheme="minorHAnsi" w:eastAsiaTheme="minorEastAsia" w:hAnsiTheme="minorHAnsi" w:cstheme="minorBidi"/>
            <w:b w:val="0"/>
            <w:noProof/>
            <w:lang w:eastAsia="en-GB"/>
          </w:rPr>
          <w:tab/>
        </w:r>
        <w:r w:rsidR="007F1ABB" w:rsidRPr="001753D7">
          <w:rPr>
            <w:rStyle w:val="Hyperlink"/>
            <w:noProof/>
            <w:lang w:val="en-US"/>
          </w:rPr>
          <w:t>Loans</w:t>
        </w:r>
        <w:r w:rsidR="007F1ABB">
          <w:rPr>
            <w:noProof/>
            <w:webHidden/>
          </w:rPr>
          <w:tab/>
        </w:r>
        <w:r>
          <w:rPr>
            <w:noProof/>
            <w:webHidden/>
          </w:rPr>
          <w:fldChar w:fldCharType="begin"/>
        </w:r>
        <w:r w:rsidR="007F1ABB">
          <w:rPr>
            <w:noProof/>
            <w:webHidden/>
          </w:rPr>
          <w:instrText xml:space="preserve"> PAGEREF _Toc365554336 \h </w:instrText>
        </w:r>
        <w:r>
          <w:rPr>
            <w:noProof/>
            <w:webHidden/>
          </w:rPr>
        </w:r>
        <w:r>
          <w:rPr>
            <w:noProof/>
            <w:webHidden/>
          </w:rPr>
          <w:fldChar w:fldCharType="separate"/>
        </w:r>
        <w:r w:rsidR="00D74F7E">
          <w:rPr>
            <w:noProof/>
            <w:webHidden/>
          </w:rPr>
          <w:t>5</w:t>
        </w:r>
        <w:r>
          <w:rPr>
            <w:noProof/>
            <w:webHidden/>
          </w:rPr>
          <w:fldChar w:fldCharType="end"/>
        </w:r>
      </w:hyperlink>
    </w:p>
    <w:p w:rsidR="007F1ABB" w:rsidRDefault="00E55126">
      <w:pPr>
        <w:pStyle w:val="TOC1"/>
        <w:rPr>
          <w:rFonts w:asciiTheme="minorHAnsi" w:eastAsiaTheme="minorEastAsia" w:hAnsiTheme="minorHAnsi" w:cstheme="minorBidi"/>
          <w:b w:val="0"/>
          <w:noProof/>
          <w:sz w:val="22"/>
          <w:szCs w:val="22"/>
          <w:lang w:eastAsia="en-GB"/>
        </w:rPr>
      </w:pPr>
      <w:hyperlink w:anchor="_Toc365554337" w:history="1">
        <w:r w:rsidR="007F1ABB" w:rsidRPr="001753D7">
          <w:rPr>
            <w:rStyle w:val="Hyperlink"/>
            <w:noProof/>
            <w:lang w:val="en-US"/>
          </w:rPr>
          <w:t>Chapter 3</w:t>
        </w:r>
        <w:r w:rsidR="007F1ABB">
          <w:rPr>
            <w:rFonts w:asciiTheme="minorHAnsi" w:eastAsiaTheme="minorEastAsia" w:hAnsiTheme="minorHAnsi" w:cstheme="minorBidi"/>
            <w:b w:val="0"/>
            <w:noProof/>
            <w:sz w:val="22"/>
            <w:szCs w:val="22"/>
            <w:lang w:eastAsia="en-GB"/>
          </w:rPr>
          <w:tab/>
        </w:r>
        <w:r w:rsidR="007F1ABB" w:rsidRPr="001753D7">
          <w:rPr>
            <w:rStyle w:val="Hyperlink"/>
            <w:noProof/>
            <w:lang w:val="en-US"/>
          </w:rPr>
          <w:t>ABP</w:t>
        </w:r>
        <w:r w:rsidR="007F1ABB">
          <w:rPr>
            <w:noProof/>
            <w:webHidden/>
          </w:rPr>
          <w:tab/>
        </w:r>
        <w:r>
          <w:rPr>
            <w:noProof/>
            <w:webHidden/>
          </w:rPr>
          <w:fldChar w:fldCharType="begin"/>
        </w:r>
        <w:r w:rsidR="007F1ABB">
          <w:rPr>
            <w:noProof/>
            <w:webHidden/>
          </w:rPr>
          <w:instrText xml:space="preserve"> PAGEREF _Toc365554337 \h </w:instrText>
        </w:r>
        <w:r>
          <w:rPr>
            <w:noProof/>
            <w:webHidden/>
          </w:rPr>
        </w:r>
        <w:r>
          <w:rPr>
            <w:noProof/>
            <w:webHidden/>
          </w:rPr>
          <w:fldChar w:fldCharType="separate"/>
        </w:r>
        <w:r w:rsidR="00D74F7E">
          <w:rPr>
            <w:noProof/>
            <w:webHidden/>
          </w:rPr>
          <w:t>7</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38" w:history="1">
        <w:r w:rsidR="007F1ABB" w:rsidRPr="001753D7">
          <w:rPr>
            <w:rStyle w:val="Hyperlink"/>
            <w:noProof/>
            <w:lang w:val="en-US"/>
          </w:rPr>
          <w:t>3.1</w:t>
        </w:r>
        <w:r w:rsidR="007F1ABB">
          <w:rPr>
            <w:rFonts w:asciiTheme="minorHAnsi" w:eastAsiaTheme="minorEastAsia" w:hAnsiTheme="minorHAnsi" w:cstheme="minorBidi"/>
            <w:b w:val="0"/>
            <w:noProof/>
            <w:lang w:eastAsia="en-GB"/>
          </w:rPr>
          <w:tab/>
        </w:r>
        <w:r w:rsidR="007F1ABB" w:rsidRPr="001753D7">
          <w:rPr>
            <w:rStyle w:val="Hyperlink"/>
            <w:noProof/>
            <w:lang w:val="en-US"/>
          </w:rPr>
          <w:t>Shareholdings</w:t>
        </w:r>
        <w:r w:rsidR="007F1ABB">
          <w:rPr>
            <w:noProof/>
            <w:webHidden/>
          </w:rPr>
          <w:tab/>
        </w:r>
        <w:r>
          <w:rPr>
            <w:noProof/>
            <w:webHidden/>
          </w:rPr>
          <w:fldChar w:fldCharType="begin"/>
        </w:r>
        <w:r w:rsidR="007F1ABB">
          <w:rPr>
            <w:noProof/>
            <w:webHidden/>
          </w:rPr>
          <w:instrText xml:space="preserve"> PAGEREF _Toc365554338 \h </w:instrText>
        </w:r>
        <w:r>
          <w:rPr>
            <w:noProof/>
            <w:webHidden/>
          </w:rPr>
        </w:r>
        <w:r>
          <w:rPr>
            <w:noProof/>
            <w:webHidden/>
          </w:rPr>
          <w:fldChar w:fldCharType="separate"/>
        </w:r>
        <w:r w:rsidR="00D74F7E">
          <w:rPr>
            <w:noProof/>
            <w:webHidden/>
          </w:rPr>
          <w:t>7</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39" w:history="1">
        <w:r w:rsidR="007F1ABB" w:rsidRPr="001753D7">
          <w:rPr>
            <w:rStyle w:val="Hyperlink"/>
            <w:noProof/>
            <w:lang w:val="en-US"/>
          </w:rPr>
          <w:t>3.2</w:t>
        </w:r>
        <w:r w:rsidR="007F1ABB">
          <w:rPr>
            <w:rFonts w:asciiTheme="minorHAnsi" w:eastAsiaTheme="minorEastAsia" w:hAnsiTheme="minorHAnsi" w:cstheme="minorBidi"/>
            <w:b w:val="0"/>
            <w:noProof/>
            <w:lang w:eastAsia="en-GB"/>
          </w:rPr>
          <w:tab/>
        </w:r>
        <w:r w:rsidR="007F1ABB" w:rsidRPr="001753D7">
          <w:rPr>
            <w:rStyle w:val="Hyperlink"/>
            <w:noProof/>
            <w:lang w:val="en-US"/>
          </w:rPr>
          <w:t>Share issuances</w:t>
        </w:r>
        <w:r w:rsidR="007F1ABB">
          <w:rPr>
            <w:noProof/>
            <w:webHidden/>
          </w:rPr>
          <w:tab/>
        </w:r>
        <w:r>
          <w:rPr>
            <w:noProof/>
            <w:webHidden/>
          </w:rPr>
          <w:fldChar w:fldCharType="begin"/>
        </w:r>
        <w:r w:rsidR="007F1ABB">
          <w:rPr>
            <w:noProof/>
            <w:webHidden/>
          </w:rPr>
          <w:instrText xml:space="preserve"> PAGEREF _Toc365554339 \h </w:instrText>
        </w:r>
        <w:r>
          <w:rPr>
            <w:noProof/>
            <w:webHidden/>
          </w:rPr>
        </w:r>
        <w:r>
          <w:rPr>
            <w:noProof/>
            <w:webHidden/>
          </w:rPr>
          <w:fldChar w:fldCharType="separate"/>
        </w:r>
        <w:r w:rsidR="00D74F7E">
          <w:rPr>
            <w:noProof/>
            <w:webHidden/>
          </w:rPr>
          <w:t>7</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40" w:history="1">
        <w:r w:rsidR="007F1ABB" w:rsidRPr="001753D7">
          <w:rPr>
            <w:rStyle w:val="Hyperlink"/>
            <w:noProof/>
            <w:lang w:val="en-US"/>
          </w:rPr>
          <w:t>3.3</w:t>
        </w:r>
        <w:r w:rsidR="007F1ABB">
          <w:rPr>
            <w:rFonts w:asciiTheme="minorHAnsi" w:eastAsiaTheme="minorEastAsia" w:hAnsiTheme="minorHAnsi" w:cstheme="minorBidi"/>
            <w:b w:val="0"/>
            <w:noProof/>
            <w:lang w:eastAsia="en-GB"/>
          </w:rPr>
          <w:tab/>
        </w:r>
        <w:r w:rsidR="007F1ABB" w:rsidRPr="001753D7">
          <w:rPr>
            <w:rStyle w:val="Hyperlink"/>
            <w:noProof/>
            <w:lang w:val="en-US"/>
          </w:rPr>
          <w:t>Bondholdings</w:t>
        </w:r>
        <w:r w:rsidR="007F1ABB">
          <w:rPr>
            <w:noProof/>
            <w:webHidden/>
          </w:rPr>
          <w:tab/>
        </w:r>
        <w:r>
          <w:rPr>
            <w:noProof/>
            <w:webHidden/>
          </w:rPr>
          <w:fldChar w:fldCharType="begin"/>
        </w:r>
        <w:r w:rsidR="007F1ABB">
          <w:rPr>
            <w:noProof/>
            <w:webHidden/>
          </w:rPr>
          <w:instrText xml:space="preserve"> PAGEREF _Toc365554340 \h </w:instrText>
        </w:r>
        <w:r>
          <w:rPr>
            <w:noProof/>
            <w:webHidden/>
          </w:rPr>
        </w:r>
        <w:r>
          <w:rPr>
            <w:noProof/>
            <w:webHidden/>
          </w:rPr>
          <w:fldChar w:fldCharType="separate"/>
        </w:r>
        <w:r w:rsidR="00D74F7E">
          <w:rPr>
            <w:noProof/>
            <w:webHidden/>
          </w:rPr>
          <w:t>7</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41" w:history="1">
        <w:r w:rsidR="007F1ABB" w:rsidRPr="001753D7">
          <w:rPr>
            <w:rStyle w:val="Hyperlink"/>
            <w:noProof/>
            <w:lang w:val="en-US"/>
          </w:rPr>
          <w:t>3.4</w:t>
        </w:r>
        <w:r w:rsidR="007F1ABB">
          <w:rPr>
            <w:rFonts w:asciiTheme="minorHAnsi" w:eastAsiaTheme="minorEastAsia" w:hAnsiTheme="minorHAnsi" w:cstheme="minorBidi"/>
            <w:b w:val="0"/>
            <w:noProof/>
            <w:lang w:eastAsia="en-GB"/>
          </w:rPr>
          <w:tab/>
        </w:r>
        <w:r w:rsidR="007F1ABB" w:rsidRPr="001753D7">
          <w:rPr>
            <w:rStyle w:val="Hyperlink"/>
            <w:noProof/>
            <w:lang w:val="en-US"/>
          </w:rPr>
          <w:t>Bond issuances</w:t>
        </w:r>
        <w:r w:rsidR="007F1ABB">
          <w:rPr>
            <w:noProof/>
            <w:webHidden/>
          </w:rPr>
          <w:tab/>
        </w:r>
        <w:r>
          <w:rPr>
            <w:noProof/>
            <w:webHidden/>
          </w:rPr>
          <w:fldChar w:fldCharType="begin"/>
        </w:r>
        <w:r w:rsidR="007F1ABB">
          <w:rPr>
            <w:noProof/>
            <w:webHidden/>
          </w:rPr>
          <w:instrText xml:space="preserve"> PAGEREF _Toc365554341 \h </w:instrText>
        </w:r>
        <w:r>
          <w:rPr>
            <w:noProof/>
            <w:webHidden/>
          </w:rPr>
        </w:r>
        <w:r>
          <w:rPr>
            <w:noProof/>
            <w:webHidden/>
          </w:rPr>
          <w:fldChar w:fldCharType="separate"/>
        </w:r>
        <w:r w:rsidR="00D74F7E">
          <w:rPr>
            <w:noProof/>
            <w:webHidden/>
          </w:rPr>
          <w:t>8</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42" w:history="1">
        <w:r w:rsidR="007F1ABB" w:rsidRPr="001753D7">
          <w:rPr>
            <w:rStyle w:val="Hyperlink"/>
            <w:noProof/>
            <w:lang w:val="en-US"/>
          </w:rPr>
          <w:t>3.5</w:t>
        </w:r>
        <w:r w:rsidR="007F1ABB">
          <w:rPr>
            <w:rFonts w:asciiTheme="minorHAnsi" w:eastAsiaTheme="minorEastAsia" w:hAnsiTheme="minorHAnsi" w:cstheme="minorBidi"/>
            <w:b w:val="0"/>
            <w:noProof/>
            <w:lang w:eastAsia="en-GB"/>
          </w:rPr>
          <w:tab/>
        </w:r>
        <w:r w:rsidR="007F1ABB" w:rsidRPr="001753D7">
          <w:rPr>
            <w:rStyle w:val="Hyperlink"/>
            <w:noProof/>
            <w:lang w:val="en-US"/>
          </w:rPr>
          <w:t>Loans</w:t>
        </w:r>
        <w:r w:rsidR="007F1ABB">
          <w:rPr>
            <w:noProof/>
            <w:webHidden/>
          </w:rPr>
          <w:tab/>
        </w:r>
        <w:r>
          <w:rPr>
            <w:noProof/>
            <w:webHidden/>
          </w:rPr>
          <w:fldChar w:fldCharType="begin"/>
        </w:r>
        <w:r w:rsidR="007F1ABB">
          <w:rPr>
            <w:noProof/>
            <w:webHidden/>
          </w:rPr>
          <w:instrText xml:space="preserve"> PAGEREF _Toc365554342 \h </w:instrText>
        </w:r>
        <w:r>
          <w:rPr>
            <w:noProof/>
            <w:webHidden/>
          </w:rPr>
        </w:r>
        <w:r>
          <w:rPr>
            <w:noProof/>
            <w:webHidden/>
          </w:rPr>
          <w:fldChar w:fldCharType="separate"/>
        </w:r>
        <w:r w:rsidR="00D74F7E">
          <w:rPr>
            <w:noProof/>
            <w:webHidden/>
          </w:rPr>
          <w:t>8</w:t>
        </w:r>
        <w:r>
          <w:rPr>
            <w:noProof/>
            <w:webHidden/>
          </w:rPr>
          <w:fldChar w:fldCharType="end"/>
        </w:r>
      </w:hyperlink>
    </w:p>
    <w:p w:rsidR="007F1ABB" w:rsidRDefault="00E55126">
      <w:pPr>
        <w:pStyle w:val="TOC1"/>
        <w:rPr>
          <w:rFonts w:asciiTheme="minorHAnsi" w:eastAsiaTheme="minorEastAsia" w:hAnsiTheme="minorHAnsi" w:cstheme="minorBidi"/>
          <w:b w:val="0"/>
          <w:noProof/>
          <w:sz w:val="22"/>
          <w:szCs w:val="22"/>
          <w:lang w:eastAsia="en-GB"/>
        </w:rPr>
      </w:pPr>
      <w:hyperlink w:anchor="_Toc365554343" w:history="1">
        <w:r w:rsidR="007F1ABB" w:rsidRPr="001753D7">
          <w:rPr>
            <w:rStyle w:val="Hyperlink"/>
            <w:noProof/>
            <w:lang w:val="en-US"/>
          </w:rPr>
          <w:t>Chapter 4</w:t>
        </w:r>
        <w:r w:rsidR="007F1ABB">
          <w:rPr>
            <w:rFonts w:asciiTheme="minorHAnsi" w:eastAsiaTheme="minorEastAsia" w:hAnsiTheme="minorHAnsi" w:cstheme="minorBidi"/>
            <w:b w:val="0"/>
            <w:noProof/>
            <w:sz w:val="22"/>
            <w:szCs w:val="22"/>
            <w:lang w:eastAsia="en-GB"/>
          </w:rPr>
          <w:tab/>
        </w:r>
        <w:r w:rsidR="007F1ABB" w:rsidRPr="001753D7">
          <w:rPr>
            <w:rStyle w:val="Hyperlink"/>
            <w:noProof/>
            <w:lang w:val="en-US"/>
          </w:rPr>
          <w:t>Aegon</w:t>
        </w:r>
        <w:r w:rsidR="007F1ABB">
          <w:rPr>
            <w:noProof/>
            <w:webHidden/>
          </w:rPr>
          <w:tab/>
        </w:r>
        <w:r>
          <w:rPr>
            <w:noProof/>
            <w:webHidden/>
          </w:rPr>
          <w:fldChar w:fldCharType="begin"/>
        </w:r>
        <w:r w:rsidR="007F1ABB">
          <w:rPr>
            <w:noProof/>
            <w:webHidden/>
          </w:rPr>
          <w:instrText xml:space="preserve"> PAGEREF _Toc365554343 \h </w:instrText>
        </w:r>
        <w:r>
          <w:rPr>
            <w:noProof/>
            <w:webHidden/>
          </w:rPr>
        </w:r>
        <w:r>
          <w:rPr>
            <w:noProof/>
            <w:webHidden/>
          </w:rPr>
          <w:fldChar w:fldCharType="separate"/>
        </w:r>
        <w:r w:rsidR="00D74F7E">
          <w:rPr>
            <w:noProof/>
            <w:webHidden/>
          </w:rPr>
          <w:t>9</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44" w:history="1">
        <w:r w:rsidR="007F1ABB" w:rsidRPr="001753D7">
          <w:rPr>
            <w:rStyle w:val="Hyperlink"/>
            <w:noProof/>
            <w:lang w:val="en-US"/>
          </w:rPr>
          <w:t>4.1</w:t>
        </w:r>
        <w:r w:rsidR="007F1ABB">
          <w:rPr>
            <w:rFonts w:asciiTheme="minorHAnsi" w:eastAsiaTheme="minorEastAsia" w:hAnsiTheme="minorHAnsi" w:cstheme="minorBidi"/>
            <w:b w:val="0"/>
            <w:noProof/>
            <w:lang w:eastAsia="en-GB"/>
          </w:rPr>
          <w:tab/>
        </w:r>
        <w:r w:rsidR="007F1ABB" w:rsidRPr="001753D7">
          <w:rPr>
            <w:rStyle w:val="Hyperlink"/>
            <w:noProof/>
            <w:lang w:val="en-US"/>
          </w:rPr>
          <w:t>Shareholdings</w:t>
        </w:r>
        <w:r w:rsidR="007F1ABB">
          <w:rPr>
            <w:noProof/>
            <w:webHidden/>
          </w:rPr>
          <w:tab/>
        </w:r>
        <w:r>
          <w:rPr>
            <w:noProof/>
            <w:webHidden/>
          </w:rPr>
          <w:fldChar w:fldCharType="begin"/>
        </w:r>
        <w:r w:rsidR="007F1ABB">
          <w:rPr>
            <w:noProof/>
            <w:webHidden/>
          </w:rPr>
          <w:instrText xml:space="preserve"> PAGEREF _Toc365554344 \h </w:instrText>
        </w:r>
        <w:r>
          <w:rPr>
            <w:noProof/>
            <w:webHidden/>
          </w:rPr>
        </w:r>
        <w:r>
          <w:rPr>
            <w:noProof/>
            <w:webHidden/>
          </w:rPr>
          <w:fldChar w:fldCharType="separate"/>
        </w:r>
        <w:r w:rsidR="00D74F7E">
          <w:rPr>
            <w:noProof/>
            <w:webHidden/>
          </w:rPr>
          <w:t>9</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45" w:history="1">
        <w:r w:rsidR="007F1ABB" w:rsidRPr="001753D7">
          <w:rPr>
            <w:rStyle w:val="Hyperlink"/>
            <w:noProof/>
            <w:lang w:val="en-US"/>
          </w:rPr>
          <w:t>4.2</w:t>
        </w:r>
        <w:r w:rsidR="007F1ABB">
          <w:rPr>
            <w:rFonts w:asciiTheme="minorHAnsi" w:eastAsiaTheme="minorEastAsia" w:hAnsiTheme="minorHAnsi" w:cstheme="minorBidi"/>
            <w:b w:val="0"/>
            <w:noProof/>
            <w:lang w:eastAsia="en-GB"/>
          </w:rPr>
          <w:tab/>
        </w:r>
        <w:r w:rsidR="007F1ABB" w:rsidRPr="001753D7">
          <w:rPr>
            <w:rStyle w:val="Hyperlink"/>
            <w:noProof/>
            <w:lang w:val="en-US"/>
          </w:rPr>
          <w:t>Share issuances</w:t>
        </w:r>
        <w:r w:rsidR="007F1ABB">
          <w:rPr>
            <w:noProof/>
            <w:webHidden/>
          </w:rPr>
          <w:tab/>
        </w:r>
        <w:r>
          <w:rPr>
            <w:noProof/>
            <w:webHidden/>
          </w:rPr>
          <w:fldChar w:fldCharType="begin"/>
        </w:r>
        <w:r w:rsidR="007F1ABB">
          <w:rPr>
            <w:noProof/>
            <w:webHidden/>
          </w:rPr>
          <w:instrText xml:space="preserve"> PAGEREF _Toc365554345 \h </w:instrText>
        </w:r>
        <w:r>
          <w:rPr>
            <w:noProof/>
            <w:webHidden/>
          </w:rPr>
        </w:r>
        <w:r>
          <w:rPr>
            <w:noProof/>
            <w:webHidden/>
          </w:rPr>
          <w:fldChar w:fldCharType="separate"/>
        </w:r>
        <w:r w:rsidR="00D74F7E">
          <w:rPr>
            <w:noProof/>
            <w:webHidden/>
          </w:rPr>
          <w:t>10</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46" w:history="1">
        <w:r w:rsidR="007F1ABB" w:rsidRPr="001753D7">
          <w:rPr>
            <w:rStyle w:val="Hyperlink"/>
            <w:noProof/>
            <w:lang w:val="en-US"/>
          </w:rPr>
          <w:t>4.3</w:t>
        </w:r>
        <w:r w:rsidR="007F1ABB">
          <w:rPr>
            <w:rFonts w:asciiTheme="minorHAnsi" w:eastAsiaTheme="minorEastAsia" w:hAnsiTheme="minorHAnsi" w:cstheme="minorBidi"/>
            <w:b w:val="0"/>
            <w:noProof/>
            <w:lang w:eastAsia="en-GB"/>
          </w:rPr>
          <w:tab/>
        </w:r>
        <w:r w:rsidR="007F1ABB" w:rsidRPr="001753D7">
          <w:rPr>
            <w:rStyle w:val="Hyperlink"/>
            <w:noProof/>
            <w:lang w:val="en-US"/>
          </w:rPr>
          <w:t>Bondholdings</w:t>
        </w:r>
        <w:r w:rsidR="007F1ABB">
          <w:rPr>
            <w:noProof/>
            <w:webHidden/>
          </w:rPr>
          <w:tab/>
        </w:r>
        <w:r>
          <w:rPr>
            <w:noProof/>
            <w:webHidden/>
          </w:rPr>
          <w:fldChar w:fldCharType="begin"/>
        </w:r>
        <w:r w:rsidR="007F1ABB">
          <w:rPr>
            <w:noProof/>
            <w:webHidden/>
          </w:rPr>
          <w:instrText xml:space="preserve"> PAGEREF _Toc365554346 \h </w:instrText>
        </w:r>
        <w:r>
          <w:rPr>
            <w:noProof/>
            <w:webHidden/>
          </w:rPr>
        </w:r>
        <w:r>
          <w:rPr>
            <w:noProof/>
            <w:webHidden/>
          </w:rPr>
          <w:fldChar w:fldCharType="separate"/>
        </w:r>
        <w:r w:rsidR="00D74F7E">
          <w:rPr>
            <w:noProof/>
            <w:webHidden/>
          </w:rPr>
          <w:t>10</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47" w:history="1">
        <w:r w:rsidR="007F1ABB" w:rsidRPr="001753D7">
          <w:rPr>
            <w:rStyle w:val="Hyperlink"/>
            <w:noProof/>
            <w:lang w:val="en-US"/>
          </w:rPr>
          <w:t>4.4</w:t>
        </w:r>
        <w:r w:rsidR="007F1ABB">
          <w:rPr>
            <w:rFonts w:asciiTheme="minorHAnsi" w:eastAsiaTheme="minorEastAsia" w:hAnsiTheme="minorHAnsi" w:cstheme="minorBidi"/>
            <w:b w:val="0"/>
            <w:noProof/>
            <w:lang w:eastAsia="en-GB"/>
          </w:rPr>
          <w:tab/>
        </w:r>
        <w:r w:rsidR="007F1ABB" w:rsidRPr="001753D7">
          <w:rPr>
            <w:rStyle w:val="Hyperlink"/>
            <w:noProof/>
            <w:lang w:val="en-US"/>
          </w:rPr>
          <w:t>Bond issuances</w:t>
        </w:r>
        <w:r w:rsidR="007F1ABB">
          <w:rPr>
            <w:noProof/>
            <w:webHidden/>
          </w:rPr>
          <w:tab/>
        </w:r>
        <w:r>
          <w:rPr>
            <w:noProof/>
            <w:webHidden/>
          </w:rPr>
          <w:fldChar w:fldCharType="begin"/>
        </w:r>
        <w:r w:rsidR="007F1ABB">
          <w:rPr>
            <w:noProof/>
            <w:webHidden/>
          </w:rPr>
          <w:instrText xml:space="preserve"> PAGEREF _Toc365554347 \h </w:instrText>
        </w:r>
        <w:r>
          <w:rPr>
            <w:noProof/>
            <w:webHidden/>
          </w:rPr>
        </w:r>
        <w:r>
          <w:rPr>
            <w:noProof/>
            <w:webHidden/>
          </w:rPr>
          <w:fldChar w:fldCharType="separate"/>
        </w:r>
        <w:r w:rsidR="00D74F7E">
          <w:rPr>
            <w:noProof/>
            <w:webHidden/>
          </w:rPr>
          <w:t>11</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48" w:history="1">
        <w:r w:rsidR="007F1ABB" w:rsidRPr="001753D7">
          <w:rPr>
            <w:rStyle w:val="Hyperlink"/>
            <w:noProof/>
            <w:lang w:val="en-US"/>
          </w:rPr>
          <w:t>4.5</w:t>
        </w:r>
        <w:r w:rsidR="007F1ABB">
          <w:rPr>
            <w:rFonts w:asciiTheme="minorHAnsi" w:eastAsiaTheme="minorEastAsia" w:hAnsiTheme="minorHAnsi" w:cstheme="minorBidi"/>
            <w:b w:val="0"/>
            <w:noProof/>
            <w:lang w:eastAsia="en-GB"/>
          </w:rPr>
          <w:tab/>
        </w:r>
        <w:r w:rsidR="007F1ABB" w:rsidRPr="001753D7">
          <w:rPr>
            <w:rStyle w:val="Hyperlink"/>
            <w:noProof/>
            <w:lang w:val="en-US"/>
          </w:rPr>
          <w:t>Loans</w:t>
        </w:r>
        <w:r w:rsidR="007F1ABB">
          <w:rPr>
            <w:noProof/>
            <w:webHidden/>
          </w:rPr>
          <w:tab/>
        </w:r>
        <w:r>
          <w:rPr>
            <w:noProof/>
            <w:webHidden/>
          </w:rPr>
          <w:fldChar w:fldCharType="begin"/>
        </w:r>
        <w:r w:rsidR="007F1ABB">
          <w:rPr>
            <w:noProof/>
            <w:webHidden/>
          </w:rPr>
          <w:instrText xml:space="preserve"> PAGEREF _Toc365554348 \h </w:instrText>
        </w:r>
        <w:r>
          <w:rPr>
            <w:noProof/>
            <w:webHidden/>
          </w:rPr>
        </w:r>
        <w:r>
          <w:rPr>
            <w:noProof/>
            <w:webHidden/>
          </w:rPr>
          <w:fldChar w:fldCharType="separate"/>
        </w:r>
        <w:r w:rsidR="00D74F7E">
          <w:rPr>
            <w:noProof/>
            <w:webHidden/>
          </w:rPr>
          <w:t>12</w:t>
        </w:r>
        <w:r>
          <w:rPr>
            <w:noProof/>
            <w:webHidden/>
          </w:rPr>
          <w:fldChar w:fldCharType="end"/>
        </w:r>
      </w:hyperlink>
    </w:p>
    <w:p w:rsidR="007F1ABB" w:rsidRDefault="00E55126">
      <w:pPr>
        <w:pStyle w:val="TOC1"/>
        <w:rPr>
          <w:rFonts w:asciiTheme="minorHAnsi" w:eastAsiaTheme="minorEastAsia" w:hAnsiTheme="minorHAnsi" w:cstheme="minorBidi"/>
          <w:b w:val="0"/>
          <w:noProof/>
          <w:sz w:val="22"/>
          <w:szCs w:val="22"/>
          <w:lang w:eastAsia="en-GB"/>
        </w:rPr>
      </w:pPr>
      <w:hyperlink w:anchor="_Toc365554349" w:history="1">
        <w:r w:rsidR="007F1ABB" w:rsidRPr="001753D7">
          <w:rPr>
            <w:rStyle w:val="Hyperlink"/>
            <w:noProof/>
            <w:lang w:val="en-US"/>
          </w:rPr>
          <w:t>Chapter 5</w:t>
        </w:r>
        <w:r w:rsidR="007F1ABB">
          <w:rPr>
            <w:rFonts w:asciiTheme="minorHAnsi" w:eastAsiaTheme="minorEastAsia" w:hAnsiTheme="minorHAnsi" w:cstheme="minorBidi"/>
            <w:b w:val="0"/>
            <w:noProof/>
            <w:sz w:val="22"/>
            <w:szCs w:val="22"/>
            <w:lang w:eastAsia="en-GB"/>
          </w:rPr>
          <w:tab/>
        </w:r>
        <w:r w:rsidR="007F1ABB" w:rsidRPr="001753D7">
          <w:rPr>
            <w:rStyle w:val="Hyperlink"/>
            <w:noProof/>
            <w:lang w:val="en-US"/>
          </w:rPr>
          <w:t>ING</w:t>
        </w:r>
        <w:r w:rsidR="007F1ABB">
          <w:rPr>
            <w:noProof/>
            <w:webHidden/>
          </w:rPr>
          <w:tab/>
        </w:r>
        <w:r>
          <w:rPr>
            <w:noProof/>
            <w:webHidden/>
          </w:rPr>
          <w:fldChar w:fldCharType="begin"/>
        </w:r>
        <w:r w:rsidR="007F1ABB">
          <w:rPr>
            <w:noProof/>
            <w:webHidden/>
          </w:rPr>
          <w:instrText xml:space="preserve"> PAGEREF _Toc365554349 \h </w:instrText>
        </w:r>
        <w:r>
          <w:rPr>
            <w:noProof/>
            <w:webHidden/>
          </w:rPr>
        </w:r>
        <w:r>
          <w:rPr>
            <w:noProof/>
            <w:webHidden/>
          </w:rPr>
          <w:fldChar w:fldCharType="separate"/>
        </w:r>
        <w:r w:rsidR="00D74F7E">
          <w:rPr>
            <w:noProof/>
            <w:webHidden/>
          </w:rPr>
          <w:t>13</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0" w:history="1">
        <w:r w:rsidR="007F1ABB" w:rsidRPr="001753D7">
          <w:rPr>
            <w:rStyle w:val="Hyperlink"/>
            <w:noProof/>
            <w:lang w:val="en-US"/>
          </w:rPr>
          <w:t>5.1</w:t>
        </w:r>
        <w:r w:rsidR="007F1ABB">
          <w:rPr>
            <w:rFonts w:asciiTheme="minorHAnsi" w:eastAsiaTheme="minorEastAsia" w:hAnsiTheme="minorHAnsi" w:cstheme="minorBidi"/>
            <w:b w:val="0"/>
            <w:noProof/>
            <w:lang w:eastAsia="en-GB"/>
          </w:rPr>
          <w:tab/>
        </w:r>
        <w:r w:rsidR="007F1ABB" w:rsidRPr="001753D7">
          <w:rPr>
            <w:rStyle w:val="Hyperlink"/>
            <w:noProof/>
            <w:lang w:val="en-US"/>
          </w:rPr>
          <w:t>Shareholdings</w:t>
        </w:r>
        <w:r w:rsidR="007F1ABB">
          <w:rPr>
            <w:noProof/>
            <w:webHidden/>
          </w:rPr>
          <w:tab/>
        </w:r>
        <w:r>
          <w:rPr>
            <w:noProof/>
            <w:webHidden/>
          </w:rPr>
          <w:fldChar w:fldCharType="begin"/>
        </w:r>
        <w:r w:rsidR="007F1ABB">
          <w:rPr>
            <w:noProof/>
            <w:webHidden/>
          </w:rPr>
          <w:instrText xml:space="preserve"> PAGEREF _Toc365554350 \h </w:instrText>
        </w:r>
        <w:r>
          <w:rPr>
            <w:noProof/>
            <w:webHidden/>
          </w:rPr>
        </w:r>
        <w:r>
          <w:rPr>
            <w:noProof/>
            <w:webHidden/>
          </w:rPr>
          <w:fldChar w:fldCharType="separate"/>
        </w:r>
        <w:r w:rsidR="00D74F7E">
          <w:rPr>
            <w:noProof/>
            <w:webHidden/>
          </w:rPr>
          <w:t>13</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1" w:history="1">
        <w:r w:rsidR="007F1ABB" w:rsidRPr="001753D7">
          <w:rPr>
            <w:rStyle w:val="Hyperlink"/>
            <w:noProof/>
            <w:lang w:val="en-US"/>
          </w:rPr>
          <w:t>5.2</w:t>
        </w:r>
        <w:r w:rsidR="007F1ABB">
          <w:rPr>
            <w:rFonts w:asciiTheme="minorHAnsi" w:eastAsiaTheme="minorEastAsia" w:hAnsiTheme="minorHAnsi" w:cstheme="minorBidi"/>
            <w:b w:val="0"/>
            <w:noProof/>
            <w:lang w:eastAsia="en-GB"/>
          </w:rPr>
          <w:tab/>
        </w:r>
        <w:r w:rsidR="007F1ABB" w:rsidRPr="001753D7">
          <w:rPr>
            <w:rStyle w:val="Hyperlink"/>
            <w:noProof/>
            <w:lang w:val="en-US"/>
          </w:rPr>
          <w:t>Share issuances</w:t>
        </w:r>
        <w:r w:rsidR="007F1ABB">
          <w:rPr>
            <w:noProof/>
            <w:webHidden/>
          </w:rPr>
          <w:tab/>
        </w:r>
        <w:r>
          <w:rPr>
            <w:noProof/>
            <w:webHidden/>
          </w:rPr>
          <w:fldChar w:fldCharType="begin"/>
        </w:r>
        <w:r w:rsidR="007F1ABB">
          <w:rPr>
            <w:noProof/>
            <w:webHidden/>
          </w:rPr>
          <w:instrText xml:space="preserve"> PAGEREF _Toc365554351 \h </w:instrText>
        </w:r>
        <w:r>
          <w:rPr>
            <w:noProof/>
            <w:webHidden/>
          </w:rPr>
        </w:r>
        <w:r>
          <w:rPr>
            <w:noProof/>
            <w:webHidden/>
          </w:rPr>
          <w:fldChar w:fldCharType="separate"/>
        </w:r>
        <w:r w:rsidR="00D74F7E">
          <w:rPr>
            <w:noProof/>
            <w:webHidden/>
          </w:rPr>
          <w:t>14</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2" w:history="1">
        <w:r w:rsidR="007F1ABB" w:rsidRPr="001753D7">
          <w:rPr>
            <w:rStyle w:val="Hyperlink"/>
            <w:noProof/>
            <w:lang w:val="en-US"/>
          </w:rPr>
          <w:t>5.3</w:t>
        </w:r>
        <w:r w:rsidR="007F1ABB">
          <w:rPr>
            <w:rFonts w:asciiTheme="minorHAnsi" w:eastAsiaTheme="minorEastAsia" w:hAnsiTheme="minorHAnsi" w:cstheme="minorBidi"/>
            <w:b w:val="0"/>
            <w:noProof/>
            <w:lang w:eastAsia="en-GB"/>
          </w:rPr>
          <w:tab/>
        </w:r>
        <w:r w:rsidR="007F1ABB" w:rsidRPr="001753D7">
          <w:rPr>
            <w:rStyle w:val="Hyperlink"/>
            <w:noProof/>
            <w:lang w:val="en-US"/>
          </w:rPr>
          <w:t>Bondholdings</w:t>
        </w:r>
        <w:r w:rsidR="007F1ABB">
          <w:rPr>
            <w:noProof/>
            <w:webHidden/>
          </w:rPr>
          <w:tab/>
        </w:r>
        <w:r>
          <w:rPr>
            <w:noProof/>
            <w:webHidden/>
          </w:rPr>
          <w:fldChar w:fldCharType="begin"/>
        </w:r>
        <w:r w:rsidR="007F1ABB">
          <w:rPr>
            <w:noProof/>
            <w:webHidden/>
          </w:rPr>
          <w:instrText xml:space="preserve"> PAGEREF _Toc365554352 \h </w:instrText>
        </w:r>
        <w:r>
          <w:rPr>
            <w:noProof/>
            <w:webHidden/>
          </w:rPr>
        </w:r>
        <w:r>
          <w:rPr>
            <w:noProof/>
            <w:webHidden/>
          </w:rPr>
          <w:fldChar w:fldCharType="separate"/>
        </w:r>
        <w:r w:rsidR="00D74F7E">
          <w:rPr>
            <w:noProof/>
            <w:webHidden/>
          </w:rPr>
          <w:t>14</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3" w:history="1">
        <w:r w:rsidR="007F1ABB" w:rsidRPr="001753D7">
          <w:rPr>
            <w:rStyle w:val="Hyperlink"/>
            <w:noProof/>
            <w:lang w:val="en-US"/>
          </w:rPr>
          <w:t>5.4</w:t>
        </w:r>
        <w:r w:rsidR="007F1ABB">
          <w:rPr>
            <w:rFonts w:asciiTheme="minorHAnsi" w:eastAsiaTheme="minorEastAsia" w:hAnsiTheme="minorHAnsi" w:cstheme="minorBidi"/>
            <w:b w:val="0"/>
            <w:noProof/>
            <w:lang w:eastAsia="en-GB"/>
          </w:rPr>
          <w:tab/>
        </w:r>
        <w:r w:rsidR="007F1ABB" w:rsidRPr="001753D7">
          <w:rPr>
            <w:rStyle w:val="Hyperlink"/>
            <w:noProof/>
            <w:lang w:val="en-US"/>
          </w:rPr>
          <w:t>Bond issuances</w:t>
        </w:r>
        <w:r w:rsidR="007F1ABB">
          <w:rPr>
            <w:noProof/>
            <w:webHidden/>
          </w:rPr>
          <w:tab/>
        </w:r>
        <w:r>
          <w:rPr>
            <w:noProof/>
            <w:webHidden/>
          </w:rPr>
          <w:fldChar w:fldCharType="begin"/>
        </w:r>
        <w:r w:rsidR="007F1ABB">
          <w:rPr>
            <w:noProof/>
            <w:webHidden/>
          </w:rPr>
          <w:instrText xml:space="preserve"> PAGEREF _Toc365554353 \h </w:instrText>
        </w:r>
        <w:r>
          <w:rPr>
            <w:noProof/>
            <w:webHidden/>
          </w:rPr>
        </w:r>
        <w:r>
          <w:rPr>
            <w:noProof/>
            <w:webHidden/>
          </w:rPr>
          <w:fldChar w:fldCharType="separate"/>
        </w:r>
        <w:r w:rsidR="00D74F7E">
          <w:rPr>
            <w:noProof/>
            <w:webHidden/>
          </w:rPr>
          <w:t>16</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4" w:history="1">
        <w:r w:rsidR="007F1ABB" w:rsidRPr="001753D7">
          <w:rPr>
            <w:rStyle w:val="Hyperlink"/>
            <w:noProof/>
            <w:lang w:val="en-US"/>
          </w:rPr>
          <w:t>5.5</w:t>
        </w:r>
        <w:r w:rsidR="007F1ABB">
          <w:rPr>
            <w:rFonts w:asciiTheme="minorHAnsi" w:eastAsiaTheme="minorEastAsia" w:hAnsiTheme="minorHAnsi" w:cstheme="minorBidi"/>
            <w:b w:val="0"/>
            <w:noProof/>
            <w:lang w:eastAsia="en-GB"/>
          </w:rPr>
          <w:tab/>
        </w:r>
        <w:r w:rsidR="007F1ABB" w:rsidRPr="001753D7">
          <w:rPr>
            <w:rStyle w:val="Hyperlink"/>
            <w:noProof/>
            <w:lang w:val="en-US"/>
          </w:rPr>
          <w:t>Loans</w:t>
        </w:r>
        <w:r w:rsidR="007F1ABB">
          <w:rPr>
            <w:noProof/>
            <w:webHidden/>
          </w:rPr>
          <w:tab/>
        </w:r>
        <w:r>
          <w:rPr>
            <w:noProof/>
            <w:webHidden/>
          </w:rPr>
          <w:fldChar w:fldCharType="begin"/>
        </w:r>
        <w:r w:rsidR="007F1ABB">
          <w:rPr>
            <w:noProof/>
            <w:webHidden/>
          </w:rPr>
          <w:instrText xml:space="preserve"> PAGEREF _Toc365554354 \h </w:instrText>
        </w:r>
        <w:r>
          <w:rPr>
            <w:noProof/>
            <w:webHidden/>
          </w:rPr>
        </w:r>
        <w:r>
          <w:rPr>
            <w:noProof/>
            <w:webHidden/>
          </w:rPr>
          <w:fldChar w:fldCharType="separate"/>
        </w:r>
        <w:r w:rsidR="00D74F7E">
          <w:rPr>
            <w:noProof/>
            <w:webHidden/>
          </w:rPr>
          <w:t>17</w:t>
        </w:r>
        <w:r>
          <w:rPr>
            <w:noProof/>
            <w:webHidden/>
          </w:rPr>
          <w:fldChar w:fldCharType="end"/>
        </w:r>
      </w:hyperlink>
    </w:p>
    <w:p w:rsidR="007F1ABB" w:rsidRDefault="00E55126">
      <w:pPr>
        <w:pStyle w:val="TOC1"/>
        <w:rPr>
          <w:rFonts w:asciiTheme="minorHAnsi" w:eastAsiaTheme="minorEastAsia" w:hAnsiTheme="minorHAnsi" w:cstheme="minorBidi"/>
          <w:b w:val="0"/>
          <w:noProof/>
          <w:sz w:val="22"/>
          <w:szCs w:val="22"/>
          <w:lang w:eastAsia="en-GB"/>
        </w:rPr>
      </w:pPr>
      <w:hyperlink w:anchor="_Toc365554355" w:history="1">
        <w:r w:rsidR="007F1ABB" w:rsidRPr="001753D7">
          <w:rPr>
            <w:rStyle w:val="Hyperlink"/>
            <w:noProof/>
            <w:lang w:val="nl-NL"/>
          </w:rPr>
          <w:t>Chapter 6</w:t>
        </w:r>
        <w:r w:rsidR="007F1ABB">
          <w:rPr>
            <w:rFonts w:asciiTheme="minorHAnsi" w:eastAsiaTheme="minorEastAsia" w:hAnsiTheme="minorHAnsi" w:cstheme="minorBidi"/>
            <w:b w:val="0"/>
            <w:noProof/>
            <w:sz w:val="22"/>
            <w:szCs w:val="22"/>
            <w:lang w:eastAsia="en-GB"/>
          </w:rPr>
          <w:tab/>
        </w:r>
        <w:r w:rsidR="007F1ABB" w:rsidRPr="001753D7">
          <w:rPr>
            <w:rStyle w:val="Hyperlink"/>
            <w:noProof/>
            <w:lang w:val="nl-NL"/>
          </w:rPr>
          <w:t>Pensioenfonds Zorg en Welzijn (PfZW)</w:t>
        </w:r>
        <w:r w:rsidR="007F1ABB">
          <w:rPr>
            <w:noProof/>
            <w:webHidden/>
          </w:rPr>
          <w:tab/>
        </w:r>
        <w:r>
          <w:rPr>
            <w:noProof/>
            <w:webHidden/>
          </w:rPr>
          <w:fldChar w:fldCharType="begin"/>
        </w:r>
        <w:r w:rsidR="007F1ABB">
          <w:rPr>
            <w:noProof/>
            <w:webHidden/>
          </w:rPr>
          <w:instrText xml:space="preserve"> PAGEREF _Toc365554355 \h </w:instrText>
        </w:r>
        <w:r>
          <w:rPr>
            <w:noProof/>
            <w:webHidden/>
          </w:rPr>
        </w:r>
        <w:r>
          <w:rPr>
            <w:noProof/>
            <w:webHidden/>
          </w:rPr>
          <w:fldChar w:fldCharType="separate"/>
        </w:r>
        <w:r w:rsidR="00D74F7E">
          <w:rPr>
            <w:noProof/>
            <w:webHidden/>
          </w:rPr>
          <w:t>21</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6" w:history="1">
        <w:r w:rsidR="007F1ABB" w:rsidRPr="001753D7">
          <w:rPr>
            <w:rStyle w:val="Hyperlink"/>
            <w:noProof/>
            <w:lang w:val="en-US"/>
          </w:rPr>
          <w:t>6.1</w:t>
        </w:r>
        <w:r w:rsidR="007F1ABB">
          <w:rPr>
            <w:rFonts w:asciiTheme="minorHAnsi" w:eastAsiaTheme="minorEastAsia" w:hAnsiTheme="minorHAnsi" w:cstheme="minorBidi"/>
            <w:b w:val="0"/>
            <w:noProof/>
            <w:lang w:eastAsia="en-GB"/>
          </w:rPr>
          <w:tab/>
        </w:r>
        <w:r w:rsidR="007F1ABB" w:rsidRPr="001753D7">
          <w:rPr>
            <w:rStyle w:val="Hyperlink"/>
            <w:noProof/>
            <w:lang w:val="en-US"/>
          </w:rPr>
          <w:t>Shareholdings</w:t>
        </w:r>
        <w:r w:rsidR="007F1ABB">
          <w:rPr>
            <w:noProof/>
            <w:webHidden/>
          </w:rPr>
          <w:tab/>
        </w:r>
        <w:r>
          <w:rPr>
            <w:noProof/>
            <w:webHidden/>
          </w:rPr>
          <w:fldChar w:fldCharType="begin"/>
        </w:r>
        <w:r w:rsidR="007F1ABB">
          <w:rPr>
            <w:noProof/>
            <w:webHidden/>
          </w:rPr>
          <w:instrText xml:space="preserve"> PAGEREF _Toc365554356 \h </w:instrText>
        </w:r>
        <w:r>
          <w:rPr>
            <w:noProof/>
            <w:webHidden/>
          </w:rPr>
        </w:r>
        <w:r>
          <w:rPr>
            <w:noProof/>
            <w:webHidden/>
          </w:rPr>
          <w:fldChar w:fldCharType="separate"/>
        </w:r>
        <w:r w:rsidR="00D74F7E">
          <w:rPr>
            <w:noProof/>
            <w:webHidden/>
          </w:rPr>
          <w:t>21</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7" w:history="1">
        <w:r w:rsidR="007F1ABB" w:rsidRPr="001753D7">
          <w:rPr>
            <w:rStyle w:val="Hyperlink"/>
            <w:noProof/>
            <w:lang w:val="en-US"/>
          </w:rPr>
          <w:t>6.2</w:t>
        </w:r>
        <w:r w:rsidR="007F1ABB">
          <w:rPr>
            <w:rFonts w:asciiTheme="minorHAnsi" w:eastAsiaTheme="minorEastAsia" w:hAnsiTheme="minorHAnsi" w:cstheme="minorBidi"/>
            <w:b w:val="0"/>
            <w:noProof/>
            <w:lang w:eastAsia="en-GB"/>
          </w:rPr>
          <w:tab/>
        </w:r>
        <w:r w:rsidR="007F1ABB" w:rsidRPr="001753D7">
          <w:rPr>
            <w:rStyle w:val="Hyperlink"/>
            <w:noProof/>
            <w:lang w:val="en-US"/>
          </w:rPr>
          <w:t>Share issuances</w:t>
        </w:r>
        <w:r w:rsidR="007F1ABB">
          <w:rPr>
            <w:noProof/>
            <w:webHidden/>
          </w:rPr>
          <w:tab/>
        </w:r>
        <w:r>
          <w:rPr>
            <w:noProof/>
            <w:webHidden/>
          </w:rPr>
          <w:fldChar w:fldCharType="begin"/>
        </w:r>
        <w:r w:rsidR="007F1ABB">
          <w:rPr>
            <w:noProof/>
            <w:webHidden/>
          </w:rPr>
          <w:instrText xml:space="preserve"> PAGEREF _Toc365554357 \h </w:instrText>
        </w:r>
        <w:r>
          <w:rPr>
            <w:noProof/>
            <w:webHidden/>
          </w:rPr>
        </w:r>
        <w:r>
          <w:rPr>
            <w:noProof/>
            <w:webHidden/>
          </w:rPr>
          <w:fldChar w:fldCharType="separate"/>
        </w:r>
        <w:r w:rsidR="00D74F7E">
          <w:rPr>
            <w:noProof/>
            <w:webHidden/>
          </w:rPr>
          <w:t>21</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8" w:history="1">
        <w:r w:rsidR="007F1ABB" w:rsidRPr="001753D7">
          <w:rPr>
            <w:rStyle w:val="Hyperlink"/>
            <w:noProof/>
            <w:lang w:val="en-US"/>
          </w:rPr>
          <w:t>6.3</w:t>
        </w:r>
        <w:r w:rsidR="007F1ABB">
          <w:rPr>
            <w:rFonts w:asciiTheme="minorHAnsi" w:eastAsiaTheme="minorEastAsia" w:hAnsiTheme="minorHAnsi" w:cstheme="minorBidi"/>
            <w:b w:val="0"/>
            <w:noProof/>
            <w:lang w:eastAsia="en-GB"/>
          </w:rPr>
          <w:tab/>
        </w:r>
        <w:r w:rsidR="007F1ABB" w:rsidRPr="001753D7">
          <w:rPr>
            <w:rStyle w:val="Hyperlink"/>
            <w:noProof/>
            <w:lang w:val="en-US"/>
          </w:rPr>
          <w:t>Bondholdings</w:t>
        </w:r>
        <w:r w:rsidR="007F1ABB">
          <w:rPr>
            <w:noProof/>
            <w:webHidden/>
          </w:rPr>
          <w:tab/>
        </w:r>
        <w:r>
          <w:rPr>
            <w:noProof/>
            <w:webHidden/>
          </w:rPr>
          <w:fldChar w:fldCharType="begin"/>
        </w:r>
        <w:r w:rsidR="007F1ABB">
          <w:rPr>
            <w:noProof/>
            <w:webHidden/>
          </w:rPr>
          <w:instrText xml:space="preserve"> PAGEREF _Toc365554358 \h </w:instrText>
        </w:r>
        <w:r>
          <w:rPr>
            <w:noProof/>
            <w:webHidden/>
          </w:rPr>
        </w:r>
        <w:r>
          <w:rPr>
            <w:noProof/>
            <w:webHidden/>
          </w:rPr>
          <w:fldChar w:fldCharType="separate"/>
        </w:r>
        <w:r w:rsidR="00D74F7E">
          <w:rPr>
            <w:noProof/>
            <w:webHidden/>
          </w:rPr>
          <w:t>21</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59" w:history="1">
        <w:r w:rsidR="007F1ABB" w:rsidRPr="001753D7">
          <w:rPr>
            <w:rStyle w:val="Hyperlink"/>
            <w:noProof/>
            <w:lang w:val="en-US"/>
          </w:rPr>
          <w:t>6.4</w:t>
        </w:r>
        <w:r w:rsidR="007F1ABB">
          <w:rPr>
            <w:rFonts w:asciiTheme="minorHAnsi" w:eastAsiaTheme="minorEastAsia" w:hAnsiTheme="minorHAnsi" w:cstheme="minorBidi"/>
            <w:b w:val="0"/>
            <w:noProof/>
            <w:lang w:eastAsia="en-GB"/>
          </w:rPr>
          <w:tab/>
        </w:r>
        <w:r w:rsidR="007F1ABB" w:rsidRPr="001753D7">
          <w:rPr>
            <w:rStyle w:val="Hyperlink"/>
            <w:noProof/>
            <w:lang w:val="en-US"/>
          </w:rPr>
          <w:t>Bond issuances</w:t>
        </w:r>
        <w:r w:rsidR="007F1ABB">
          <w:rPr>
            <w:noProof/>
            <w:webHidden/>
          </w:rPr>
          <w:tab/>
        </w:r>
        <w:r>
          <w:rPr>
            <w:noProof/>
            <w:webHidden/>
          </w:rPr>
          <w:fldChar w:fldCharType="begin"/>
        </w:r>
        <w:r w:rsidR="007F1ABB">
          <w:rPr>
            <w:noProof/>
            <w:webHidden/>
          </w:rPr>
          <w:instrText xml:space="preserve"> PAGEREF _Toc365554359 \h </w:instrText>
        </w:r>
        <w:r>
          <w:rPr>
            <w:noProof/>
            <w:webHidden/>
          </w:rPr>
        </w:r>
        <w:r>
          <w:rPr>
            <w:noProof/>
            <w:webHidden/>
          </w:rPr>
          <w:fldChar w:fldCharType="separate"/>
        </w:r>
        <w:r w:rsidR="00D74F7E">
          <w:rPr>
            <w:noProof/>
            <w:webHidden/>
          </w:rPr>
          <w:t>22</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60" w:history="1">
        <w:r w:rsidR="007F1ABB" w:rsidRPr="001753D7">
          <w:rPr>
            <w:rStyle w:val="Hyperlink"/>
            <w:noProof/>
            <w:lang w:val="en-US"/>
          </w:rPr>
          <w:t>6.5</w:t>
        </w:r>
        <w:r w:rsidR="007F1ABB">
          <w:rPr>
            <w:rFonts w:asciiTheme="minorHAnsi" w:eastAsiaTheme="minorEastAsia" w:hAnsiTheme="minorHAnsi" w:cstheme="minorBidi"/>
            <w:b w:val="0"/>
            <w:noProof/>
            <w:lang w:eastAsia="en-GB"/>
          </w:rPr>
          <w:tab/>
        </w:r>
        <w:r w:rsidR="007F1ABB" w:rsidRPr="001753D7">
          <w:rPr>
            <w:rStyle w:val="Hyperlink"/>
            <w:noProof/>
            <w:lang w:val="en-US"/>
          </w:rPr>
          <w:t>Loans</w:t>
        </w:r>
        <w:r w:rsidR="007F1ABB">
          <w:rPr>
            <w:noProof/>
            <w:webHidden/>
          </w:rPr>
          <w:tab/>
        </w:r>
        <w:r>
          <w:rPr>
            <w:noProof/>
            <w:webHidden/>
          </w:rPr>
          <w:fldChar w:fldCharType="begin"/>
        </w:r>
        <w:r w:rsidR="007F1ABB">
          <w:rPr>
            <w:noProof/>
            <w:webHidden/>
          </w:rPr>
          <w:instrText xml:space="preserve"> PAGEREF _Toc365554360 \h </w:instrText>
        </w:r>
        <w:r>
          <w:rPr>
            <w:noProof/>
            <w:webHidden/>
          </w:rPr>
        </w:r>
        <w:r>
          <w:rPr>
            <w:noProof/>
            <w:webHidden/>
          </w:rPr>
          <w:fldChar w:fldCharType="separate"/>
        </w:r>
        <w:r w:rsidR="00D74F7E">
          <w:rPr>
            <w:noProof/>
            <w:webHidden/>
          </w:rPr>
          <w:t>22</w:t>
        </w:r>
        <w:r>
          <w:rPr>
            <w:noProof/>
            <w:webHidden/>
          </w:rPr>
          <w:fldChar w:fldCharType="end"/>
        </w:r>
      </w:hyperlink>
    </w:p>
    <w:p w:rsidR="007F1ABB" w:rsidRDefault="00E55126">
      <w:pPr>
        <w:pStyle w:val="TOC1"/>
        <w:rPr>
          <w:rFonts w:asciiTheme="minorHAnsi" w:eastAsiaTheme="minorEastAsia" w:hAnsiTheme="minorHAnsi" w:cstheme="minorBidi"/>
          <w:b w:val="0"/>
          <w:noProof/>
          <w:sz w:val="22"/>
          <w:szCs w:val="22"/>
          <w:lang w:eastAsia="en-GB"/>
        </w:rPr>
      </w:pPr>
      <w:hyperlink w:anchor="_Toc365554361" w:history="1">
        <w:r w:rsidR="007F1ABB" w:rsidRPr="001753D7">
          <w:rPr>
            <w:rStyle w:val="Hyperlink"/>
            <w:noProof/>
            <w:lang w:val="en-US"/>
          </w:rPr>
          <w:t>Chapter 7</w:t>
        </w:r>
        <w:r w:rsidR="007F1ABB">
          <w:rPr>
            <w:rFonts w:asciiTheme="minorHAnsi" w:eastAsiaTheme="minorEastAsia" w:hAnsiTheme="minorHAnsi" w:cstheme="minorBidi"/>
            <w:b w:val="0"/>
            <w:noProof/>
            <w:sz w:val="22"/>
            <w:szCs w:val="22"/>
            <w:lang w:eastAsia="en-GB"/>
          </w:rPr>
          <w:tab/>
        </w:r>
        <w:r w:rsidR="007F1ABB" w:rsidRPr="001753D7">
          <w:rPr>
            <w:rStyle w:val="Hyperlink"/>
            <w:noProof/>
            <w:lang w:val="en-US"/>
          </w:rPr>
          <w:t>Rabobank</w:t>
        </w:r>
        <w:r w:rsidR="007F1ABB">
          <w:rPr>
            <w:noProof/>
            <w:webHidden/>
          </w:rPr>
          <w:tab/>
        </w:r>
        <w:r>
          <w:rPr>
            <w:noProof/>
            <w:webHidden/>
          </w:rPr>
          <w:fldChar w:fldCharType="begin"/>
        </w:r>
        <w:r w:rsidR="007F1ABB">
          <w:rPr>
            <w:noProof/>
            <w:webHidden/>
          </w:rPr>
          <w:instrText xml:space="preserve"> PAGEREF _Toc365554361 \h </w:instrText>
        </w:r>
        <w:r>
          <w:rPr>
            <w:noProof/>
            <w:webHidden/>
          </w:rPr>
        </w:r>
        <w:r>
          <w:rPr>
            <w:noProof/>
            <w:webHidden/>
          </w:rPr>
          <w:fldChar w:fldCharType="separate"/>
        </w:r>
        <w:r w:rsidR="00D74F7E">
          <w:rPr>
            <w:noProof/>
            <w:webHidden/>
          </w:rPr>
          <w:t>23</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62" w:history="1">
        <w:r w:rsidR="007F1ABB" w:rsidRPr="001753D7">
          <w:rPr>
            <w:rStyle w:val="Hyperlink"/>
            <w:noProof/>
            <w:lang w:val="en-US"/>
          </w:rPr>
          <w:t>7.1</w:t>
        </w:r>
        <w:r w:rsidR="007F1ABB">
          <w:rPr>
            <w:rFonts w:asciiTheme="minorHAnsi" w:eastAsiaTheme="minorEastAsia" w:hAnsiTheme="minorHAnsi" w:cstheme="minorBidi"/>
            <w:b w:val="0"/>
            <w:noProof/>
            <w:lang w:eastAsia="en-GB"/>
          </w:rPr>
          <w:tab/>
        </w:r>
        <w:r w:rsidR="007F1ABB" w:rsidRPr="001753D7">
          <w:rPr>
            <w:rStyle w:val="Hyperlink"/>
            <w:noProof/>
            <w:lang w:val="en-US"/>
          </w:rPr>
          <w:t>Shareholdings</w:t>
        </w:r>
        <w:r w:rsidR="007F1ABB">
          <w:rPr>
            <w:noProof/>
            <w:webHidden/>
          </w:rPr>
          <w:tab/>
        </w:r>
        <w:r>
          <w:rPr>
            <w:noProof/>
            <w:webHidden/>
          </w:rPr>
          <w:fldChar w:fldCharType="begin"/>
        </w:r>
        <w:r w:rsidR="007F1ABB">
          <w:rPr>
            <w:noProof/>
            <w:webHidden/>
          </w:rPr>
          <w:instrText xml:space="preserve"> PAGEREF _Toc365554362 \h </w:instrText>
        </w:r>
        <w:r>
          <w:rPr>
            <w:noProof/>
            <w:webHidden/>
          </w:rPr>
        </w:r>
        <w:r>
          <w:rPr>
            <w:noProof/>
            <w:webHidden/>
          </w:rPr>
          <w:fldChar w:fldCharType="separate"/>
        </w:r>
        <w:r w:rsidR="00D74F7E">
          <w:rPr>
            <w:noProof/>
            <w:webHidden/>
          </w:rPr>
          <w:t>23</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63" w:history="1">
        <w:r w:rsidR="007F1ABB" w:rsidRPr="001753D7">
          <w:rPr>
            <w:rStyle w:val="Hyperlink"/>
            <w:noProof/>
            <w:lang w:val="en-US"/>
          </w:rPr>
          <w:t>7.2</w:t>
        </w:r>
        <w:r w:rsidR="007F1ABB">
          <w:rPr>
            <w:rFonts w:asciiTheme="minorHAnsi" w:eastAsiaTheme="minorEastAsia" w:hAnsiTheme="minorHAnsi" w:cstheme="minorBidi"/>
            <w:b w:val="0"/>
            <w:noProof/>
            <w:lang w:eastAsia="en-GB"/>
          </w:rPr>
          <w:tab/>
        </w:r>
        <w:r w:rsidR="007F1ABB" w:rsidRPr="001753D7">
          <w:rPr>
            <w:rStyle w:val="Hyperlink"/>
            <w:noProof/>
            <w:lang w:val="en-US"/>
          </w:rPr>
          <w:t>Share issuances</w:t>
        </w:r>
        <w:r w:rsidR="007F1ABB">
          <w:rPr>
            <w:noProof/>
            <w:webHidden/>
          </w:rPr>
          <w:tab/>
        </w:r>
        <w:r>
          <w:rPr>
            <w:noProof/>
            <w:webHidden/>
          </w:rPr>
          <w:fldChar w:fldCharType="begin"/>
        </w:r>
        <w:r w:rsidR="007F1ABB">
          <w:rPr>
            <w:noProof/>
            <w:webHidden/>
          </w:rPr>
          <w:instrText xml:space="preserve"> PAGEREF _Toc365554363 \h </w:instrText>
        </w:r>
        <w:r>
          <w:rPr>
            <w:noProof/>
            <w:webHidden/>
          </w:rPr>
        </w:r>
        <w:r>
          <w:rPr>
            <w:noProof/>
            <w:webHidden/>
          </w:rPr>
          <w:fldChar w:fldCharType="separate"/>
        </w:r>
        <w:r w:rsidR="00D74F7E">
          <w:rPr>
            <w:noProof/>
            <w:webHidden/>
          </w:rPr>
          <w:t>23</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64" w:history="1">
        <w:r w:rsidR="007F1ABB" w:rsidRPr="001753D7">
          <w:rPr>
            <w:rStyle w:val="Hyperlink"/>
            <w:noProof/>
            <w:lang w:val="en-US"/>
          </w:rPr>
          <w:t>7.3</w:t>
        </w:r>
        <w:r w:rsidR="007F1ABB">
          <w:rPr>
            <w:rFonts w:asciiTheme="minorHAnsi" w:eastAsiaTheme="minorEastAsia" w:hAnsiTheme="minorHAnsi" w:cstheme="minorBidi"/>
            <w:b w:val="0"/>
            <w:noProof/>
            <w:lang w:eastAsia="en-GB"/>
          </w:rPr>
          <w:tab/>
        </w:r>
        <w:r w:rsidR="007F1ABB" w:rsidRPr="001753D7">
          <w:rPr>
            <w:rStyle w:val="Hyperlink"/>
            <w:noProof/>
            <w:lang w:val="en-US"/>
          </w:rPr>
          <w:t>Bondholdings</w:t>
        </w:r>
        <w:r w:rsidR="007F1ABB">
          <w:rPr>
            <w:noProof/>
            <w:webHidden/>
          </w:rPr>
          <w:tab/>
        </w:r>
        <w:r>
          <w:rPr>
            <w:noProof/>
            <w:webHidden/>
          </w:rPr>
          <w:fldChar w:fldCharType="begin"/>
        </w:r>
        <w:r w:rsidR="007F1ABB">
          <w:rPr>
            <w:noProof/>
            <w:webHidden/>
          </w:rPr>
          <w:instrText xml:space="preserve"> PAGEREF _Toc365554364 \h </w:instrText>
        </w:r>
        <w:r>
          <w:rPr>
            <w:noProof/>
            <w:webHidden/>
          </w:rPr>
        </w:r>
        <w:r>
          <w:rPr>
            <w:noProof/>
            <w:webHidden/>
          </w:rPr>
          <w:fldChar w:fldCharType="separate"/>
        </w:r>
        <w:r w:rsidR="00D74F7E">
          <w:rPr>
            <w:noProof/>
            <w:webHidden/>
          </w:rPr>
          <w:t>23</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65" w:history="1">
        <w:r w:rsidR="007F1ABB" w:rsidRPr="001753D7">
          <w:rPr>
            <w:rStyle w:val="Hyperlink"/>
            <w:noProof/>
            <w:lang w:val="en-US"/>
          </w:rPr>
          <w:t>7.4</w:t>
        </w:r>
        <w:r w:rsidR="007F1ABB">
          <w:rPr>
            <w:rFonts w:asciiTheme="minorHAnsi" w:eastAsiaTheme="minorEastAsia" w:hAnsiTheme="minorHAnsi" w:cstheme="minorBidi"/>
            <w:b w:val="0"/>
            <w:noProof/>
            <w:lang w:eastAsia="en-GB"/>
          </w:rPr>
          <w:tab/>
        </w:r>
        <w:r w:rsidR="007F1ABB" w:rsidRPr="001753D7">
          <w:rPr>
            <w:rStyle w:val="Hyperlink"/>
            <w:noProof/>
            <w:lang w:val="en-US"/>
          </w:rPr>
          <w:t>Bond issuances</w:t>
        </w:r>
        <w:r w:rsidR="007F1ABB">
          <w:rPr>
            <w:noProof/>
            <w:webHidden/>
          </w:rPr>
          <w:tab/>
        </w:r>
        <w:r>
          <w:rPr>
            <w:noProof/>
            <w:webHidden/>
          </w:rPr>
          <w:fldChar w:fldCharType="begin"/>
        </w:r>
        <w:r w:rsidR="007F1ABB">
          <w:rPr>
            <w:noProof/>
            <w:webHidden/>
          </w:rPr>
          <w:instrText xml:space="preserve"> PAGEREF _Toc365554365 \h </w:instrText>
        </w:r>
        <w:r>
          <w:rPr>
            <w:noProof/>
            <w:webHidden/>
          </w:rPr>
        </w:r>
        <w:r>
          <w:rPr>
            <w:noProof/>
            <w:webHidden/>
          </w:rPr>
          <w:fldChar w:fldCharType="separate"/>
        </w:r>
        <w:r w:rsidR="00D74F7E">
          <w:rPr>
            <w:noProof/>
            <w:webHidden/>
          </w:rPr>
          <w:t>23</w:t>
        </w:r>
        <w:r>
          <w:rPr>
            <w:noProof/>
            <w:webHidden/>
          </w:rPr>
          <w:fldChar w:fldCharType="end"/>
        </w:r>
      </w:hyperlink>
    </w:p>
    <w:p w:rsidR="007F1ABB" w:rsidRDefault="00E55126">
      <w:pPr>
        <w:pStyle w:val="TOC2"/>
        <w:tabs>
          <w:tab w:val="left" w:pos="1758"/>
        </w:tabs>
        <w:rPr>
          <w:rFonts w:asciiTheme="minorHAnsi" w:eastAsiaTheme="minorEastAsia" w:hAnsiTheme="minorHAnsi" w:cstheme="minorBidi"/>
          <w:b w:val="0"/>
          <w:noProof/>
          <w:lang w:eastAsia="en-GB"/>
        </w:rPr>
      </w:pPr>
      <w:hyperlink w:anchor="_Toc365554366" w:history="1">
        <w:r w:rsidR="007F1ABB" w:rsidRPr="001753D7">
          <w:rPr>
            <w:rStyle w:val="Hyperlink"/>
            <w:noProof/>
            <w:lang w:val="en-US"/>
          </w:rPr>
          <w:t>7.5</w:t>
        </w:r>
        <w:r w:rsidR="007F1ABB">
          <w:rPr>
            <w:rFonts w:asciiTheme="minorHAnsi" w:eastAsiaTheme="minorEastAsia" w:hAnsiTheme="minorHAnsi" w:cstheme="minorBidi"/>
            <w:b w:val="0"/>
            <w:noProof/>
            <w:lang w:eastAsia="en-GB"/>
          </w:rPr>
          <w:tab/>
        </w:r>
        <w:r w:rsidR="007F1ABB" w:rsidRPr="001753D7">
          <w:rPr>
            <w:rStyle w:val="Hyperlink"/>
            <w:noProof/>
            <w:lang w:val="en-US"/>
          </w:rPr>
          <w:t>Loans</w:t>
        </w:r>
        <w:r w:rsidR="007F1ABB">
          <w:rPr>
            <w:noProof/>
            <w:webHidden/>
          </w:rPr>
          <w:tab/>
        </w:r>
        <w:r>
          <w:rPr>
            <w:noProof/>
            <w:webHidden/>
          </w:rPr>
          <w:fldChar w:fldCharType="begin"/>
        </w:r>
        <w:r w:rsidR="007F1ABB">
          <w:rPr>
            <w:noProof/>
            <w:webHidden/>
          </w:rPr>
          <w:instrText xml:space="preserve"> PAGEREF _Toc365554366 \h </w:instrText>
        </w:r>
        <w:r>
          <w:rPr>
            <w:noProof/>
            <w:webHidden/>
          </w:rPr>
        </w:r>
        <w:r>
          <w:rPr>
            <w:noProof/>
            <w:webHidden/>
          </w:rPr>
          <w:fldChar w:fldCharType="separate"/>
        </w:r>
        <w:r w:rsidR="00D74F7E">
          <w:rPr>
            <w:noProof/>
            <w:webHidden/>
          </w:rPr>
          <w:t>25</w:t>
        </w:r>
        <w:r>
          <w:rPr>
            <w:noProof/>
            <w:webHidden/>
          </w:rPr>
          <w:fldChar w:fldCharType="end"/>
        </w:r>
      </w:hyperlink>
    </w:p>
    <w:p w:rsidR="007F1ABB" w:rsidRDefault="00E55126">
      <w:pPr>
        <w:pStyle w:val="TOC4"/>
        <w:tabs>
          <w:tab w:val="left" w:pos="1758"/>
        </w:tabs>
        <w:rPr>
          <w:rFonts w:asciiTheme="minorHAnsi" w:eastAsiaTheme="minorEastAsia" w:hAnsiTheme="minorHAnsi" w:cstheme="minorBidi"/>
          <w:b w:val="0"/>
          <w:noProof/>
          <w:sz w:val="22"/>
          <w:szCs w:val="22"/>
          <w:lang w:eastAsia="en-GB"/>
        </w:rPr>
      </w:pPr>
      <w:hyperlink w:anchor="_Toc365554367" w:history="1">
        <w:r w:rsidR="007F1ABB" w:rsidRPr="001753D7">
          <w:rPr>
            <w:rStyle w:val="Hyperlink"/>
            <w:noProof/>
            <w:lang w:val="en-US"/>
          </w:rPr>
          <w:t>Appendix 1</w:t>
        </w:r>
        <w:r w:rsidR="007F1ABB">
          <w:rPr>
            <w:rFonts w:asciiTheme="minorHAnsi" w:eastAsiaTheme="minorEastAsia" w:hAnsiTheme="minorHAnsi" w:cstheme="minorBidi"/>
            <w:b w:val="0"/>
            <w:noProof/>
            <w:sz w:val="22"/>
            <w:szCs w:val="22"/>
            <w:lang w:eastAsia="en-GB"/>
          </w:rPr>
          <w:tab/>
        </w:r>
        <w:r w:rsidR="007F1ABB" w:rsidRPr="001753D7">
          <w:rPr>
            <w:rStyle w:val="Hyperlink"/>
            <w:noProof/>
            <w:lang w:val="en-US"/>
          </w:rPr>
          <w:t>References</w:t>
        </w:r>
        <w:r w:rsidR="007F1ABB">
          <w:rPr>
            <w:noProof/>
            <w:webHidden/>
          </w:rPr>
          <w:tab/>
        </w:r>
        <w:r>
          <w:rPr>
            <w:noProof/>
            <w:webHidden/>
          </w:rPr>
          <w:fldChar w:fldCharType="begin"/>
        </w:r>
        <w:r w:rsidR="007F1ABB">
          <w:rPr>
            <w:noProof/>
            <w:webHidden/>
          </w:rPr>
          <w:instrText xml:space="preserve"> PAGEREF _Toc365554367 \h </w:instrText>
        </w:r>
        <w:r>
          <w:rPr>
            <w:noProof/>
            <w:webHidden/>
          </w:rPr>
        </w:r>
        <w:r>
          <w:rPr>
            <w:noProof/>
            <w:webHidden/>
          </w:rPr>
          <w:fldChar w:fldCharType="separate"/>
        </w:r>
        <w:r w:rsidR="00D74F7E">
          <w:rPr>
            <w:noProof/>
            <w:webHidden/>
          </w:rPr>
          <w:t>30</w:t>
        </w:r>
        <w:r>
          <w:rPr>
            <w:noProof/>
            <w:webHidden/>
          </w:rPr>
          <w:fldChar w:fldCharType="end"/>
        </w:r>
      </w:hyperlink>
    </w:p>
    <w:p w:rsidR="00E61253" w:rsidRPr="00546F0A" w:rsidRDefault="00E55126">
      <w:pPr>
        <w:tabs>
          <w:tab w:val="left" w:pos="10238"/>
        </w:tabs>
        <w:suppressAutoHyphens/>
        <w:rPr>
          <w:b/>
          <w:sz w:val="24"/>
          <w:lang w:val="en-US"/>
        </w:rPr>
        <w:sectPr w:rsidR="00E61253" w:rsidRPr="00546F0A">
          <w:footerReference w:type="default" r:id="rId12"/>
          <w:endnotePr>
            <w:numFmt w:val="decimal"/>
          </w:endnotePr>
          <w:pgSz w:w="11905" w:h="16837"/>
          <w:pgMar w:top="1418" w:right="1418" w:bottom="1418" w:left="1418" w:header="851" w:footer="851" w:gutter="0"/>
          <w:pgNumType w:start="0"/>
          <w:cols w:space="708"/>
          <w:noEndnote/>
          <w:docGrid w:linePitch="88"/>
        </w:sectPr>
      </w:pPr>
      <w:r w:rsidRPr="00546F0A">
        <w:rPr>
          <w:rFonts w:cs="Times New Roman"/>
          <w:sz w:val="24"/>
          <w:szCs w:val="24"/>
          <w:lang w:val="en-US"/>
        </w:rPr>
        <w:fldChar w:fldCharType="end"/>
      </w:r>
    </w:p>
    <w:p w:rsidR="00E61253" w:rsidRPr="00546F0A" w:rsidRDefault="00E61253" w:rsidP="006902B4">
      <w:pPr>
        <w:pStyle w:val="Heading4"/>
        <w:rPr>
          <w:lang w:val="en-US"/>
        </w:rPr>
      </w:pPr>
      <w:bookmarkStart w:id="1" w:name="_Toc365554322"/>
      <w:r w:rsidRPr="00546F0A">
        <w:rPr>
          <w:lang w:val="en-US"/>
        </w:rPr>
        <w:lastRenderedPageBreak/>
        <w:t>Summary</w:t>
      </w:r>
      <w:bookmarkEnd w:id="1"/>
    </w:p>
    <w:p w:rsidR="00E61253" w:rsidRPr="00546F0A" w:rsidRDefault="00E61253">
      <w:pPr>
        <w:rPr>
          <w:lang w:val="en-US"/>
        </w:rPr>
      </w:pPr>
    </w:p>
    <w:p w:rsidR="00D31CD5" w:rsidRDefault="005A7965" w:rsidP="00D31CD5">
      <w:pPr>
        <w:rPr>
          <w:lang w:val="en-US"/>
        </w:rPr>
      </w:pPr>
      <w:r w:rsidRPr="00C25ADD">
        <w:t xml:space="preserve">This report provides an insight in the financial relationships between </w:t>
      </w:r>
      <w:r w:rsidR="0018560A">
        <w:t xml:space="preserve">six </w:t>
      </w:r>
      <w:r>
        <w:t xml:space="preserve">Dutch financial institutions </w:t>
      </w:r>
      <w:r w:rsidRPr="00C25ADD">
        <w:t xml:space="preserve">(including their subsidiaries) and </w:t>
      </w:r>
      <w:r w:rsidR="0018560A">
        <w:t xml:space="preserve">22 </w:t>
      </w:r>
      <w:r>
        <w:t xml:space="preserve">food </w:t>
      </w:r>
      <w:r w:rsidRPr="00C25ADD">
        <w:t xml:space="preserve">producers </w:t>
      </w:r>
      <w:r>
        <w:t>and processors</w:t>
      </w:r>
      <w:r w:rsidRPr="00C25ADD">
        <w:t xml:space="preserve"> since </w:t>
      </w:r>
      <w:r>
        <w:t>1 July</w:t>
      </w:r>
      <w:r w:rsidRPr="00C25ADD">
        <w:t xml:space="preserve"> 20</w:t>
      </w:r>
      <w:r>
        <w:t>10</w:t>
      </w:r>
      <w:r w:rsidR="001A11BF">
        <w:t>: 10 international food companies, which are included in Oxfam’s Behind the Brands campaign, as well as 12 major palm oil, soy and sugar traders.</w:t>
      </w:r>
      <w:r w:rsidR="00D31CD5">
        <w:t xml:space="preserve"> The research focussed on </w:t>
      </w:r>
      <w:r w:rsidR="00D31CD5">
        <w:rPr>
          <w:lang w:val="en-US"/>
        </w:rPr>
        <w:t>six Dutch financial institutions</w:t>
      </w:r>
      <w:r w:rsidR="00D31CD5" w:rsidRPr="00546F0A">
        <w:rPr>
          <w:lang w:val="en-US"/>
        </w:rPr>
        <w:t>:</w:t>
      </w:r>
    </w:p>
    <w:p w:rsidR="00521F91" w:rsidRPr="00546F0A" w:rsidRDefault="00521F91" w:rsidP="00D31CD5">
      <w:pPr>
        <w:rPr>
          <w:lang w:val="en-US"/>
        </w:rPr>
      </w:pPr>
    </w:p>
    <w:p w:rsidR="00D31CD5" w:rsidRPr="00546F0A" w:rsidRDefault="00D31CD5" w:rsidP="00D31CD5">
      <w:pPr>
        <w:pStyle w:val="Opsomming3"/>
        <w:rPr>
          <w:lang w:val="en-US"/>
        </w:rPr>
      </w:pPr>
      <w:r w:rsidRPr="00546F0A">
        <w:rPr>
          <w:lang w:val="en-US"/>
        </w:rPr>
        <w:t>ABN Amro</w:t>
      </w:r>
    </w:p>
    <w:p w:rsidR="00D31CD5" w:rsidRPr="00546F0A" w:rsidRDefault="00D31CD5" w:rsidP="00D31CD5">
      <w:pPr>
        <w:pStyle w:val="Opsomming3"/>
        <w:rPr>
          <w:lang w:val="en-US"/>
        </w:rPr>
      </w:pPr>
      <w:r w:rsidRPr="00546F0A">
        <w:rPr>
          <w:lang w:val="en-US"/>
        </w:rPr>
        <w:t xml:space="preserve">ABP </w:t>
      </w:r>
    </w:p>
    <w:p w:rsidR="00D31CD5" w:rsidRPr="00546F0A" w:rsidRDefault="00D31CD5" w:rsidP="00D31CD5">
      <w:pPr>
        <w:pStyle w:val="Opsomming3"/>
        <w:rPr>
          <w:lang w:val="en-US"/>
        </w:rPr>
      </w:pPr>
      <w:r w:rsidRPr="00546F0A">
        <w:rPr>
          <w:lang w:val="en-US"/>
        </w:rPr>
        <w:t>Aegon</w:t>
      </w:r>
    </w:p>
    <w:p w:rsidR="00D31CD5" w:rsidRPr="00546F0A" w:rsidRDefault="00D31CD5" w:rsidP="00D31CD5">
      <w:pPr>
        <w:pStyle w:val="Opsomming3"/>
        <w:rPr>
          <w:lang w:val="en-US"/>
        </w:rPr>
      </w:pPr>
      <w:r w:rsidRPr="00546F0A">
        <w:rPr>
          <w:lang w:val="en-US"/>
        </w:rPr>
        <w:t>ING</w:t>
      </w:r>
    </w:p>
    <w:p w:rsidR="00D31CD5" w:rsidRPr="00CB18AB" w:rsidRDefault="00D31CD5" w:rsidP="00D31CD5">
      <w:pPr>
        <w:pStyle w:val="Opsomming3"/>
        <w:rPr>
          <w:lang w:val="nl-NL"/>
        </w:rPr>
      </w:pPr>
      <w:r w:rsidRPr="00CB18AB">
        <w:rPr>
          <w:lang w:val="nl-NL"/>
        </w:rPr>
        <w:t>Pensioenfonds Zorg en Welzijn (PfZW</w:t>
      </w:r>
      <w:r>
        <w:rPr>
          <w:lang w:val="nl-NL"/>
        </w:rPr>
        <w:t>)</w:t>
      </w:r>
    </w:p>
    <w:p w:rsidR="00D31CD5" w:rsidRPr="00546F0A" w:rsidRDefault="00D31CD5" w:rsidP="00D31CD5">
      <w:pPr>
        <w:pStyle w:val="Opsomming3"/>
        <w:rPr>
          <w:lang w:val="en-US"/>
        </w:rPr>
      </w:pPr>
      <w:r w:rsidRPr="00546F0A">
        <w:rPr>
          <w:lang w:val="en-US"/>
        </w:rPr>
        <w:t>Rabobank</w:t>
      </w:r>
    </w:p>
    <w:p w:rsidR="005A7965" w:rsidRPr="00550AAC" w:rsidRDefault="005A7965" w:rsidP="001A11BF"/>
    <w:p w:rsidR="005A7965" w:rsidRPr="00550AAC" w:rsidRDefault="005A7965" w:rsidP="005A7965">
      <w:r w:rsidRPr="00550AAC">
        <w:t xml:space="preserve">We searched and identified all shares and bonds </w:t>
      </w:r>
      <w:r w:rsidR="00D31CD5">
        <w:t>issued by</w:t>
      </w:r>
      <w:r w:rsidRPr="00550AAC">
        <w:t xml:space="preserve"> the </w:t>
      </w:r>
      <w:r w:rsidR="0018560A">
        <w:t>22</w:t>
      </w:r>
      <w:r w:rsidRPr="00550AAC">
        <w:t xml:space="preserve"> </w:t>
      </w:r>
      <w:r w:rsidR="0018560A">
        <w:t xml:space="preserve">food companies </w:t>
      </w:r>
      <w:r w:rsidR="00D31CD5">
        <w:t xml:space="preserve">which are </w:t>
      </w:r>
      <w:r w:rsidRPr="00550AAC">
        <w:t xml:space="preserve">held by investment funds managed by the </w:t>
      </w:r>
      <w:r w:rsidR="0018560A">
        <w:t xml:space="preserve">Dutch financial institutions </w:t>
      </w:r>
      <w:r w:rsidRPr="00550AAC">
        <w:t>and their subsidiaries at present</w:t>
      </w:r>
      <w:r w:rsidR="00AC407D">
        <w:t xml:space="preserve"> (above the threshold of € 1 million)</w:t>
      </w:r>
      <w:r w:rsidRPr="00550AAC">
        <w:t xml:space="preserve">. Moreover, we have researched the involvement of </w:t>
      </w:r>
      <w:r w:rsidR="0018560A">
        <w:t>Dutch financial institutions</w:t>
      </w:r>
      <w:r w:rsidRPr="00550AAC">
        <w:t xml:space="preserve"> in issuances of shares and bonds by these companies since </w:t>
      </w:r>
      <w:r w:rsidR="0018560A">
        <w:t>1 July</w:t>
      </w:r>
      <w:r w:rsidRPr="00550AAC">
        <w:t xml:space="preserve"> 20</w:t>
      </w:r>
      <w:r w:rsidR="0018560A">
        <w:t>10</w:t>
      </w:r>
      <w:r w:rsidRPr="00550AAC">
        <w:t xml:space="preserve">. Finally we identified all loans provided by </w:t>
      </w:r>
      <w:r w:rsidR="0018560A">
        <w:t>Dutch financial institutions</w:t>
      </w:r>
      <w:r w:rsidR="0018560A" w:rsidRPr="00550AAC">
        <w:t xml:space="preserve"> </w:t>
      </w:r>
      <w:r w:rsidRPr="00550AAC">
        <w:t xml:space="preserve">to companies on our list since </w:t>
      </w:r>
      <w:r w:rsidR="0018560A">
        <w:t>1 July</w:t>
      </w:r>
      <w:r w:rsidR="0018560A" w:rsidRPr="00550AAC">
        <w:t xml:space="preserve"> 20</w:t>
      </w:r>
      <w:r w:rsidR="0018560A">
        <w:t>10</w:t>
      </w:r>
      <w:r w:rsidRPr="00550AAC">
        <w:t>.</w:t>
      </w:r>
    </w:p>
    <w:p w:rsidR="005A7965" w:rsidRPr="00550AAC" w:rsidRDefault="005A7965" w:rsidP="005A7965"/>
    <w:p w:rsidR="0018560A" w:rsidRDefault="005A7965" w:rsidP="005A7965">
      <w:r w:rsidRPr="00550AAC">
        <w:t xml:space="preserve">We found </w:t>
      </w:r>
      <w:r w:rsidR="0018560A">
        <w:t xml:space="preserve">all Dutch financial institutions </w:t>
      </w:r>
      <w:r w:rsidRPr="00550AAC">
        <w:t>to b</w:t>
      </w:r>
      <w:r w:rsidR="0018560A">
        <w:t>e involved in the financing of the 22</w:t>
      </w:r>
      <w:r w:rsidRPr="00550AAC">
        <w:t xml:space="preserve"> </w:t>
      </w:r>
      <w:r w:rsidR="0018560A">
        <w:t>food companies</w:t>
      </w:r>
      <w:r w:rsidRPr="00550AAC">
        <w:t>. The results are summarized in</w:t>
      </w:r>
      <w:r w:rsidR="0018560A">
        <w:t xml:space="preserve"> </w:t>
      </w:r>
      <w:r w:rsidR="00E55126">
        <w:fldChar w:fldCharType="begin"/>
      </w:r>
      <w:r w:rsidR="0018560A">
        <w:instrText xml:space="preserve"> REF _Ref363471356 \r \h </w:instrText>
      </w:r>
      <w:r w:rsidR="00E55126">
        <w:fldChar w:fldCharType="separate"/>
      </w:r>
      <w:r w:rsidR="00D74F7E">
        <w:t>Table 1</w:t>
      </w:r>
      <w:r w:rsidR="00E55126">
        <w:fldChar w:fldCharType="end"/>
      </w:r>
      <w:r w:rsidRPr="00550AAC">
        <w:t>.</w:t>
      </w:r>
      <w:r w:rsidR="006426B1">
        <w:t xml:space="preserve"> </w:t>
      </w:r>
    </w:p>
    <w:p w:rsidR="0018560A" w:rsidRDefault="0018560A" w:rsidP="005A7965"/>
    <w:p w:rsidR="0018560A" w:rsidRDefault="0018560A" w:rsidP="0018560A">
      <w:pPr>
        <w:pStyle w:val="Tabelkop"/>
      </w:pPr>
      <w:bookmarkStart w:id="2" w:name="_Ref363471356"/>
      <w:r>
        <w:t>Financial relationships between Dutch financial institutions and food companies</w:t>
      </w:r>
      <w:bookmarkEnd w:id="2"/>
    </w:p>
    <w:tbl>
      <w:tblPr>
        <w:tblStyle w:val="Profundo"/>
        <w:tblW w:w="8940" w:type="dxa"/>
        <w:tblInd w:w="-1117" w:type="dxa"/>
        <w:tblLayout w:type="fixed"/>
        <w:tblLook w:val="04A0"/>
      </w:tblPr>
      <w:tblGrid>
        <w:gridCol w:w="2844"/>
        <w:gridCol w:w="1016"/>
        <w:gridCol w:w="1016"/>
        <w:gridCol w:w="1016"/>
        <w:gridCol w:w="1016"/>
        <w:gridCol w:w="1016"/>
        <w:gridCol w:w="1016"/>
      </w:tblGrid>
      <w:tr w:rsidR="00F424CF" w:rsidRPr="00F424CF" w:rsidTr="00D31CD5">
        <w:trPr>
          <w:cnfStyle w:val="100000000000"/>
          <w:tblHeader/>
        </w:trPr>
        <w:tc>
          <w:tcPr>
            <w:cnfStyle w:val="001000000000"/>
            <w:tcW w:w="2844" w:type="dxa"/>
            <w:tcBorders>
              <w:top w:val="single" w:sz="4" w:space="0" w:color="9FCB3B"/>
            </w:tcBorders>
          </w:tcPr>
          <w:p w:rsidR="00F424CF" w:rsidRPr="00F424CF" w:rsidRDefault="00F424CF" w:rsidP="0018560A">
            <w:pPr>
              <w:pStyle w:val="Tabeltekst"/>
              <w:rPr>
                <w:sz w:val="18"/>
                <w:szCs w:val="18"/>
              </w:rPr>
            </w:pPr>
          </w:p>
        </w:tc>
        <w:tc>
          <w:tcPr>
            <w:tcW w:w="6096" w:type="dxa"/>
            <w:gridSpan w:val="6"/>
            <w:tcBorders>
              <w:top w:val="single" w:sz="4" w:space="0" w:color="9FCB3B"/>
            </w:tcBorders>
          </w:tcPr>
          <w:p w:rsidR="00F424CF" w:rsidRPr="00F424CF" w:rsidRDefault="00F424CF" w:rsidP="0018560A">
            <w:pPr>
              <w:pStyle w:val="Tabeltekst"/>
              <w:jc w:val="center"/>
              <w:cnfStyle w:val="100000000000"/>
              <w:rPr>
                <w:sz w:val="18"/>
                <w:szCs w:val="18"/>
              </w:rPr>
            </w:pPr>
            <w:r w:rsidRPr="00F424CF">
              <w:rPr>
                <w:sz w:val="18"/>
                <w:szCs w:val="18"/>
              </w:rPr>
              <w:t>Financial institution</w:t>
            </w:r>
          </w:p>
        </w:tc>
      </w:tr>
      <w:tr w:rsidR="00F424CF" w:rsidRPr="0018560A" w:rsidTr="00D31CD5">
        <w:trPr>
          <w:cnfStyle w:val="100000000000"/>
          <w:tblHeader/>
        </w:trPr>
        <w:tc>
          <w:tcPr>
            <w:cnfStyle w:val="001000000000"/>
            <w:tcW w:w="2844" w:type="dxa"/>
            <w:tcBorders>
              <w:top w:val="single" w:sz="4" w:space="0" w:color="9FCB3B"/>
            </w:tcBorders>
          </w:tcPr>
          <w:p w:rsidR="00F424CF" w:rsidRPr="0018560A" w:rsidRDefault="00F424CF" w:rsidP="0018560A">
            <w:pPr>
              <w:pStyle w:val="Tabeltekst"/>
              <w:rPr>
                <w:b w:val="0"/>
                <w:sz w:val="18"/>
                <w:szCs w:val="18"/>
              </w:rPr>
            </w:pPr>
          </w:p>
          <w:p w:rsidR="00F424CF" w:rsidRPr="0018560A" w:rsidRDefault="00F424CF" w:rsidP="0018560A">
            <w:pPr>
              <w:pStyle w:val="Tabeltekst"/>
              <w:rPr>
                <w:b w:val="0"/>
                <w:sz w:val="18"/>
                <w:szCs w:val="18"/>
              </w:rPr>
            </w:pPr>
            <w:r>
              <w:rPr>
                <w:sz w:val="18"/>
                <w:szCs w:val="18"/>
              </w:rPr>
              <w:t>Behind the Brands c</w:t>
            </w:r>
            <w:r w:rsidRPr="0018560A">
              <w:rPr>
                <w:sz w:val="18"/>
                <w:szCs w:val="18"/>
              </w:rPr>
              <w:t>ompan</w:t>
            </w:r>
            <w:r>
              <w:rPr>
                <w:sz w:val="18"/>
                <w:szCs w:val="18"/>
              </w:rPr>
              <w:t>ies</w:t>
            </w:r>
          </w:p>
        </w:tc>
        <w:tc>
          <w:tcPr>
            <w:tcW w:w="1016" w:type="dxa"/>
            <w:tcBorders>
              <w:top w:val="single" w:sz="4" w:space="0" w:color="9FCB3B"/>
            </w:tcBorders>
          </w:tcPr>
          <w:p w:rsidR="00F424CF" w:rsidRPr="0018560A" w:rsidRDefault="00F424CF" w:rsidP="0018560A">
            <w:pPr>
              <w:pStyle w:val="Tabeltekst"/>
              <w:jc w:val="center"/>
              <w:cnfStyle w:val="100000000000"/>
              <w:rPr>
                <w:b w:val="0"/>
                <w:sz w:val="18"/>
                <w:szCs w:val="18"/>
              </w:rPr>
            </w:pPr>
            <w:r w:rsidRPr="0018560A">
              <w:rPr>
                <w:sz w:val="18"/>
                <w:szCs w:val="18"/>
              </w:rPr>
              <w:t>ABN Amro</w:t>
            </w:r>
          </w:p>
        </w:tc>
        <w:tc>
          <w:tcPr>
            <w:tcW w:w="1016" w:type="dxa"/>
            <w:tcBorders>
              <w:top w:val="single" w:sz="4" w:space="0" w:color="9FCB3B"/>
            </w:tcBorders>
          </w:tcPr>
          <w:p w:rsidR="00F424CF" w:rsidRPr="0018560A" w:rsidRDefault="00F424CF" w:rsidP="0018560A">
            <w:pPr>
              <w:pStyle w:val="Tabeltekst"/>
              <w:jc w:val="center"/>
              <w:cnfStyle w:val="100000000000"/>
              <w:rPr>
                <w:b w:val="0"/>
                <w:sz w:val="18"/>
                <w:szCs w:val="18"/>
              </w:rPr>
            </w:pPr>
            <w:r w:rsidRPr="0018560A">
              <w:rPr>
                <w:sz w:val="18"/>
                <w:szCs w:val="18"/>
              </w:rPr>
              <w:t>ABP</w:t>
            </w:r>
          </w:p>
        </w:tc>
        <w:tc>
          <w:tcPr>
            <w:tcW w:w="1016" w:type="dxa"/>
            <w:tcBorders>
              <w:top w:val="single" w:sz="4" w:space="0" w:color="9FCB3B"/>
            </w:tcBorders>
          </w:tcPr>
          <w:p w:rsidR="00F424CF" w:rsidRPr="0018560A" w:rsidRDefault="00F424CF" w:rsidP="0018560A">
            <w:pPr>
              <w:pStyle w:val="Tabeltekst"/>
              <w:jc w:val="center"/>
              <w:cnfStyle w:val="100000000000"/>
              <w:rPr>
                <w:b w:val="0"/>
                <w:sz w:val="18"/>
                <w:szCs w:val="18"/>
              </w:rPr>
            </w:pPr>
            <w:r w:rsidRPr="0018560A">
              <w:rPr>
                <w:sz w:val="18"/>
                <w:szCs w:val="18"/>
              </w:rPr>
              <w:t>Aegon</w:t>
            </w:r>
          </w:p>
        </w:tc>
        <w:tc>
          <w:tcPr>
            <w:tcW w:w="1016" w:type="dxa"/>
            <w:tcBorders>
              <w:top w:val="single" w:sz="4" w:space="0" w:color="9FCB3B"/>
            </w:tcBorders>
          </w:tcPr>
          <w:p w:rsidR="00F424CF" w:rsidRPr="0018560A" w:rsidRDefault="00F424CF" w:rsidP="0018560A">
            <w:pPr>
              <w:pStyle w:val="Tabeltekst"/>
              <w:jc w:val="center"/>
              <w:cnfStyle w:val="100000000000"/>
              <w:rPr>
                <w:b w:val="0"/>
                <w:sz w:val="18"/>
                <w:szCs w:val="18"/>
              </w:rPr>
            </w:pPr>
            <w:r w:rsidRPr="0018560A">
              <w:rPr>
                <w:sz w:val="18"/>
                <w:szCs w:val="18"/>
              </w:rPr>
              <w:t>ING Group</w:t>
            </w:r>
          </w:p>
        </w:tc>
        <w:tc>
          <w:tcPr>
            <w:tcW w:w="1016" w:type="dxa"/>
            <w:tcBorders>
              <w:top w:val="single" w:sz="4" w:space="0" w:color="9FCB3B"/>
            </w:tcBorders>
          </w:tcPr>
          <w:p w:rsidR="00F424CF" w:rsidRPr="0018560A" w:rsidRDefault="00F424CF" w:rsidP="00D31CD5">
            <w:pPr>
              <w:pStyle w:val="Tabeltekst"/>
              <w:jc w:val="center"/>
              <w:cnfStyle w:val="100000000000"/>
              <w:rPr>
                <w:b w:val="0"/>
                <w:sz w:val="18"/>
                <w:szCs w:val="18"/>
              </w:rPr>
            </w:pPr>
            <w:r w:rsidRPr="0018560A">
              <w:rPr>
                <w:sz w:val="18"/>
                <w:szCs w:val="18"/>
              </w:rPr>
              <w:t>P</w:t>
            </w:r>
            <w:r>
              <w:rPr>
                <w:sz w:val="18"/>
                <w:szCs w:val="18"/>
              </w:rPr>
              <w:t>f</w:t>
            </w:r>
            <w:r w:rsidRPr="0018560A">
              <w:rPr>
                <w:sz w:val="18"/>
                <w:szCs w:val="18"/>
              </w:rPr>
              <w:t>ZW</w:t>
            </w:r>
          </w:p>
        </w:tc>
        <w:tc>
          <w:tcPr>
            <w:tcW w:w="1016" w:type="dxa"/>
            <w:tcBorders>
              <w:top w:val="single" w:sz="4" w:space="0" w:color="9FCB3B"/>
            </w:tcBorders>
          </w:tcPr>
          <w:p w:rsidR="00F424CF" w:rsidRPr="0018560A" w:rsidRDefault="00D31CD5" w:rsidP="0018560A">
            <w:pPr>
              <w:pStyle w:val="Tabeltekst"/>
              <w:jc w:val="center"/>
              <w:cnfStyle w:val="100000000000"/>
              <w:rPr>
                <w:b w:val="0"/>
                <w:sz w:val="18"/>
                <w:szCs w:val="18"/>
              </w:rPr>
            </w:pPr>
            <w:r>
              <w:rPr>
                <w:sz w:val="18"/>
                <w:szCs w:val="18"/>
              </w:rPr>
              <w:t>Rabo</w:t>
            </w:r>
            <w:r w:rsidR="00F424CF" w:rsidRPr="0018560A">
              <w:rPr>
                <w:sz w:val="18"/>
                <w:szCs w:val="18"/>
              </w:rPr>
              <w:t>bank</w:t>
            </w:r>
          </w:p>
        </w:tc>
      </w:tr>
      <w:tr w:rsidR="00F424CF" w:rsidRPr="00031898" w:rsidTr="00D31CD5">
        <w:tc>
          <w:tcPr>
            <w:cnfStyle w:val="001000000000"/>
            <w:tcW w:w="2844" w:type="dxa"/>
            <w:tcBorders>
              <w:top w:val="single" w:sz="4" w:space="0" w:color="9FCB3B"/>
            </w:tcBorders>
          </w:tcPr>
          <w:p w:rsidR="00F424CF" w:rsidRPr="00031898" w:rsidRDefault="00F424CF" w:rsidP="0018560A">
            <w:pPr>
              <w:pStyle w:val="Tabeltekst"/>
              <w:rPr>
                <w:sz w:val="18"/>
                <w:szCs w:val="18"/>
              </w:rPr>
            </w:pPr>
            <w:r>
              <w:rPr>
                <w:sz w:val="18"/>
                <w:szCs w:val="18"/>
              </w:rPr>
              <w:t>Associated British Foods</w:t>
            </w: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S</w:t>
            </w: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S</w:t>
            </w: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S</w:t>
            </w: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S</w:t>
            </w:r>
          </w:p>
        </w:tc>
        <w:tc>
          <w:tcPr>
            <w:tcW w:w="1016" w:type="dxa"/>
            <w:tcBorders>
              <w:top w:val="single" w:sz="4" w:space="0" w:color="9FCB3B"/>
            </w:tcBorders>
          </w:tcPr>
          <w:p w:rsidR="00F424CF" w:rsidRPr="00031898" w:rsidRDefault="00F424CF" w:rsidP="00D31CD5">
            <w:pPr>
              <w:jc w:val="center"/>
              <w:cnfStyle w:val="000000000000"/>
              <w:rPr>
                <w:sz w:val="18"/>
                <w:szCs w:val="18"/>
              </w:rPr>
            </w:pP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L</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Coca-Cola</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18560A">
            <w:pPr>
              <w:jc w:val="center"/>
              <w:cnfStyle w:val="000000000000"/>
              <w:rPr>
                <w:sz w:val="18"/>
                <w:szCs w:val="18"/>
              </w:rPr>
            </w:pPr>
            <w:r>
              <w:rPr>
                <w:sz w:val="18"/>
                <w:szCs w:val="18"/>
              </w:rPr>
              <w:t>S, B, BI</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Danone</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CF0ECD">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 B, L, BI</w:t>
            </w:r>
          </w:p>
        </w:tc>
        <w:tc>
          <w:tcPr>
            <w:tcW w:w="1016" w:type="dxa"/>
          </w:tcPr>
          <w:p w:rsidR="00F424CF" w:rsidRPr="00031898" w:rsidRDefault="00F424CF" w:rsidP="00D31CD5">
            <w:pPr>
              <w:jc w:val="center"/>
              <w:cnfStyle w:val="000000000000"/>
              <w:rPr>
                <w:sz w:val="18"/>
                <w:szCs w:val="18"/>
              </w:rPr>
            </w:pPr>
            <w:r>
              <w:rPr>
                <w:sz w:val="18"/>
                <w:szCs w:val="18"/>
              </w:rPr>
              <w:t>S, B</w:t>
            </w:r>
          </w:p>
        </w:tc>
        <w:tc>
          <w:tcPr>
            <w:tcW w:w="1016" w:type="dxa"/>
          </w:tcPr>
          <w:p w:rsidR="00F424CF" w:rsidRPr="00031898" w:rsidRDefault="00F424CF" w:rsidP="0018560A">
            <w:pPr>
              <w:jc w:val="center"/>
              <w:cnfStyle w:val="000000000000"/>
              <w:rPr>
                <w:sz w:val="18"/>
                <w:szCs w:val="18"/>
              </w:rPr>
            </w:pP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General Mills</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L</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Kellogg</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L, BI</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Mars</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D31CD5">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L, BI</w:t>
            </w:r>
          </w:p>
        </w:tc>
      </w:tr>
      <w:tr w:rsidR="00F424CF" w:rsidRPr="00031898" w:rsidTr="00D31CD5">
        <w:tc>
          <w:tcPr>
            <w:cnfStyle w:val="001000000000"/>
            <w:tcW w:w="2844" w:type="dxa"/>
          </w:tcPr>
          <w:p w:rsidR="00F424CF" w:rsidRPr="00031898" w:rsidRDefault="00F424CF" w:rsidP="0018560A">
            <w:pPr>
              <w:rPr>
                <w:sz w:val="18"/>
                <w:szCs w:val="18"/>
              </w:rPr>
            </w:pPr>
            <w:r w:rsidRPr="0018560A">
              <w:rPr>
                <w:sz w:val="18"/>
                <w:szCs w:val="18"/>
              </w:rPr>
              <w:t xml:space="preserve">Mondelēz </w:t>
            </w:r>
            <w:r>
              <w:rPr>
                <w:sz w:val="18"/>
                <w:szCs w:val="18"/>
              </w:rPr>
              <w:t>International</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p>
        </w:tc>
      </w:tr>
      <w:tr w:rsidR="00F424CF" w:rsidRPr="00031898" w:rsidTr="00D31CD5">
        <w:tc>
          <w:tcPr>
            <w:cnfStyle w:val="001000000000"/>
            <w:tcW w:w="2844" w:type="dxa"/>
          </w:tcPr>
          <w:p w:rsidR="00F424CF" w:rsidRPr="00031898" w:rsidRDefault="00F424CF" w:rsidP="0018560A">
            <w:pPr>
              <w:rPr>
                <w:sz w:val="18"/>
                <w:szCs w:val="18"/>
              </w:rPr>
            </w:pPr>
            <w:r w:rsidRPr="0018560A">
              <w:rPr>
                <w:sz w:val="18"/>
                <w:szCs w:val="18"/>
              </w:rPr>
              <w:t>Nestlé</w:t>
            </w:r>
          </w:p>
        </w:tc>
        <w:tc>
          <w:tcPr>
            <w:tcW w:w="1016" w:type="dxa"/>
          </w:tcPr>
          <w:p w:rsidR="00F424CF" w:rsidRPr="00031898" w:rsidRDefault="00F424CF" w:rsidP="00451D40">
            <w:pPr>
              <w:jc w:val="center"/>
              <w:cnfStyle w:val="000000000000"/>
              <w:rPr>
                <w:sz w:val="18"/>
                <w:szCs w:val="18"/>
              </w:rPr>
            </w:pPr>
            <w:r>
              <w:rPr>
                <w:sz w:val="18"/>
                <w:szCs w:val="18"/>
              </w:rPr>
              <w:t xml:space="preserve">S </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 B, L</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BI</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PepsiCo</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p>
        </w:tc>
      </w:tr>
      <w:tr w:rsidR="00F424CF" w:rsidRPr="00031898" w:rsidTr="00D31CD5">
        <w:tc>
          <w:tcPr>
            <w:cnfStyle w:val="001000000000"/>
            <w:tcW w:w="2844" w:type="dxa"/>
            <w:tcBorders>
              <w:bottom w:val="single" w:sz="4" w:space="0" w:color="9FCB3B"/>
            </w:tcBorders>
          </w:tcPr>
          <w:p w:rsidR="00F424CF" w:rsidRPr="00031898" w:rsidRDefault="00F424CF" w:rsidP="0018560A">
            <w:pPr>
              <w:rPr>
                <w:sz w:val="18"/>
                <w:szCs w:val="18"/>
              </w:rPr>
            </w:pPr>
            <w:r>
              <w:rPr>
                <w:sz w:val="18"/>
                <w:szCs w:val="18"/>
              </w:rPr>
              <w:t>Unilever</w:t>
            </w:r>
          </w:p>
        </w:tc>
        <w:tc>
          <w:tcPr>
            <w:tcW w:w="1016" w:type="dxa"/>
            <w:tcBorders>
              <w:bottom w:val="single" w:sz="4" w:space="0" w:color="9FCB3B"/>
            </w:tcBorders>
          </w:tcPr>
          <w:p w:rsidR="00F424CF" w:rsidRPr="00031898" w:rsidRDefault="00F424CF" w:rsidP="0018560A">
            <w:pPr>
              <w:jc w:val="center"/>
              <w:cnfStyle w:val="000000000000"/>
              <w:rPr>
                <w:sz w:val="18"/>
                <w:szCs w:val="18"/>
              </w:rPr>
            </w:pPr>
          </w:p>
        </w:tc>
        <w:tc>
          <w:tcPr>
            <w:tcW w:w="1016" w:type="dxa"/>
            <w:tcBorders>
              <w:bottom w:val="single" w:sz="4" w:space="0" w:color="9FCB3B"/>
            </w:tcBorders>
          </w:tcPr>
          <w:p w:rsidR="00F424CF" w:rsidRPr="00031898" w:rsidRDefault="00F424CF" w:rsidP="0018560A">
            <w:pPr>
              <w:jc w:val="center"/>
              <w:cnfStyle w:val="000000000000"/>
              <w:rPr>
                <w:sz w:val="18"/>
                <w:szCs w:val="18"/>
              </w:rPr>
            </w:pPr>
            <w:r>
              <w:rPr>
                <w:sz w:val="18"/>
                <w:szCs w:val="18"/>
              </w:rPr>
              <w:t>S</w:t>
            </w:r>
          </w:p>
        </w:tc>
        <w:tc>
          <w:tcPr>
            <w:tcW w:w="1016" w:type="dxa"/>
            <w:tcBorders>
              <w:bottom w:val="single" w:sz="4" w:space="0" w:color="9FCB3B"/>
            </w:tcBorders>
          </w:tcPr>
          <w:p w:rsidR="00F424CF" w:rsidRPr="00031898" w:rsidRDefault="00F424CF" w:rsidP="0018560A">
            <w:pPr>
              <w:jc w:val="center"/>
              <w:cnfStyle w:val="000000000000"/>
              <w:rPr>
                <w:sz w:val="18"/>
                <w:szCs w:val="18"/>
              </w:rPr>
            </w:pPr>
            <w:r>
              <w:rPr>
                <w:sz w:val="18"/>
                <w:szCs w:val="18"/>
              </w:rPr>
              <w:t>S, B</w:t>
            </w:r>
          </w:p>
        </w:tc>
        <w:tc>
          <w:tcPr>
            <w:tcW w:w="1016" w:type="dxa"/>
            <w:tcBorders>
              <w:bottom w:val="single" w:sz="4" w:space="0" w:color="9FCB3B"/>
            </w:tcBorders>
          </w:tcPr>
          <w:p w:rsidR="00F424CF" w:rsidRPr="00031898" w:rsidRDefault="00F424CF" w:rsidP="0018560A">
            <w:pPr>
              <w:jc w:val="center"/>
              <w:cnfStyle w:val="000000000000"/>
              <w:rPr>
                <w:sz w:val="18"/>
                <w:szCs w:val="18"/>
              </w:rPr>
            </w:pPr>
            <w:r>
              <w:rPr>
                <w:sz w:val="18"/>
                <w:szCs w:val="18"/>
              </w:rPr>
              <w:t>S, B</w:t>
            </w:r>
          </w:p>
        </w:tc>
        <w:tc>
          <w:tcPr>
            <w:tcW w:w="1016" w:type="dxa"/>
            <w:tcBorders>
              <w:bottom w:val="single" w:sz="4" w:space="0" w:color="9FCB3B"/>
            </w:tcBorders>
          </w:tcPr>
          <w:p w:rsidR="00F424CF" w:rsidRPr="00031898" w:rsidRDefault="00F424CF" w:rsidP="00D31CD5">
            <w:pPr>
              <w:jc w:val="center"/>
              <w:cnfStyle w:val="000000000000"/>
              <w:rPr>
                <w:sz w:val="18"/>
                <w:szCs w:val="18"/>
              </w:rPr>
            </w:pPr>
            <w:r>
              <w:rPr>
                <w:sz w:val="18"/>
                <w:szCs w:val="18"/>
              </w:rPr>
              <w:t>S</w:t>
            </w:r>
          </w:p>
        </w:tc>
        <w:tc>
          <w:tcPr>
            <w:tcW w:w="1016" w:type="dxa"/>
            <w:tcBorders>
              <w:bottom w:val="single" w:sz="4" w:space="0" w:color="9FCB3B"/>
            </w:tcBorders>
          </w:tcPr>
          <w:p w:rsidR="00F424CF" w:rsidRPr="00031898" w:rsidRDefault="00F424CF" w:rsidP="0018560A">
            <w:pPr>
              <w:jc w:val="center"/>
              <w:cnfStyle w:val="000000000000"/>
              <w:rPr>
                <w:sz w:val="18"/>
                <w:szCs w:val="18"/>
              </w:rPr>
            </w:pPr>
          </w:p>
        </w:tc>
      </w:tr>
      <w:tr w:rsidR="00F424CF" w:rsidRPr="00031898" w:rsidTr="00D31CD5">
        <w:tc>
          <w:tcPr>
            <w:cnfStyle w:val="001000000000"/>
            <w:tcW w:w="2844" w:type="dxa"/>
            <w:tcBorders>
              <w:top w:val="single" w:sz="4" w:space="0" w:color="9FCB3B"/>
              <w:bottom w:val="single" w:sz="4" w:space="0" w:color="9FCB3B"/>
            </w:tcBorders>
          </w:tcPr>
          <w:p w:rsidR="00F424CF" w:rsidRPr="00271812" w:rsidRDefault="00F424CF" w:rsidP="0018560A">
            <w:pPr>
              <w:rPr>
                <w:b/>
                <w:sz w:val="18"/>
                <w:szCs w:val="18"/>
              </w:rPr>
            </w:pPr>
            <w:r w:rsidRPr="00271812">
              <w:rPr>
                <w:b/>
                <w:sz w:val="18"/>
                <w:szCs w:val="18"/>
              </w:rPr>
              <w:t>Palm oil, sugar and soy traders</w:t>
            </w:r>
          </w:p>
        </w:tc>
        <w:tc>
          <w:tcPr>
            <w:tcW w:w="1016" w:type="dxa"/>
            <w:tcBorders>
              <w:top w:val="single" w:sz="4" w:space="0" w:color="9FCB3B"/>
              <w:bottom w:val="single" w:sz="4" w:space="0" w:color="9FCB3B"/>
            </w:tcBorders>
          </w:tcPr>
          <w:p w:rsidR="00F424CF" w:rsidRDefault="00F424CF" w:rsidP="0018560A">
            <w:pPr>
              <w:jc w:val="center"/>
              <w:cnfStyle w:val="000000000000"/>
              <w:rPr>
                <w:sz w:val="18"/>
                <w:szCs w:val="18"/>
              </w:rPr>
            </w:pPr>
            <w:r w:rsidRPr="0018560A">
              <w:rPr>
                <w:b/>
                <w:sz w:val="18"/>
                <w:szCs w:val="18"/>
              </w:rPr>
              <w:t>ABN Amro</w:t>
            </w:r>
          </w:p>
        </w:tc>
        <w:tc>
          <w:tcPr>
            <w:tcW w:w="1016" w:type="dxa"/>
            <w:tcBorders>
              <w:top w:val="single" w:sz="4" w:space="0" w:color="9FCB3B"/>
              <w:bottom w:val="single" w:sz="4" w:space="0" w:color="9FCB3B"/>
            </w:tcBorders>
          </w:tcPr>
          <w:p w:rsidR="00F424CF" w:rsidRDefault="00F424CF" w:rsidP="0018560A">
            <w:pPr>
              <w:jc w:val="center"/>
              <w:cnfStyle w:val="000000000000"/>
              <w:rPr>
                <w:sz w:val="18"/>
                <w:szCs w:val="18"/>
              </w:rPr>
            </w:pPr>
            <w:r w:rsidRPr="0018560A">
              <w:rPr>
                <w:b/>
                <w:sz w:val="18"/>
                <w:szCs w:val="18"/>
              </w:rPr>
              <w:t>ABP</w:t>
            </w:r>
          </w:p>
        </w:tc>
        <w:tc>
          <w:tcPr>
            <w:tcW w:w="1016" w:type="dxa"/>
            <w:tcBorders>
              <w:top w:val="single" w:sz="4" w:space="0" w:color="9FCB3B"/>
              <w:bottom w:val="single" w:sz="4" w:space="0" w:color="9FCB3B"/>
            </w:tcBorders>
          </w:tcPr>
          <w:p w:rsidR="00F424CF" w:rsidRDefault="00F424CF" w:rsidP="0018560A">
            <w:pPr>
              <w:jc w:val="center"/>
              <w:cnfStyle w:val="000000000000"/>
              <w:rPr>
                <w:sz w:val="18"/>
                <w:szCs w:val="18"/>
              </w:rPr>
            </w:pPr>
            <w:r w:rsidRPr="0018560A">
              <w:rPr>
                <w:b/>
                <w:sz w:val="18"/>
                <w:szCs w:val="18"/>
              </w:rPr>
              <w:t>Aegon</w:t>
            </w:r>
          </w:p>
        </w:tc>
        <w:tc>
          <w:tcPr>
            <w:tcW w:w="1016" w:type="dxa"/>
            <w:tcBorders>
              <w:top w:val="single" w:sz="4" w:space="0" w:color="9FCB3B"/>
              <w:bottom w:val="single" w:sz="4" w:space="0" w:color="9FCB3B"/>
            </w:tcBorders>
          </w:tcPr>
          <w:p w:rsidR="00F424CF" w:rsidRDefault="00F424CF" w:rsidP="0018560A">
            <w:pPr>
              <w:jc w:val="center"/>
              <w:cnfStyle w:val="000000000000"/>
              <w:rPr>
                <w:sz w:val="18"/>
                <w:szCs w:val="18"/>
              </w:rPr>
            </w:pPr>
            <w:r w:rsidRPr="0018560A">
              <w:rPr>
                <w:b/>
                <w:sz w:val="18"/>
                <w:szCs w:val="18"/>
              </w:rPr>
              <w:t>ING Group</w:t>
            </w:r>
          </w:p>
        </w:tc>
        <w:tc>
          <w:tcPr>
            <w:tcW w:w="1016" w:type="dxa"/>
            <w:tcBorders>
              <w:top w:val="single" w:sz="4" w:space="0" w:color="9FCB3B"/>
              <w:bottom w:val="single" w:sz="4" w:space="0" w:color="9FCB3B"/>
            </w:tcBorders>
          </w:tcPr>
          <w:p w:rsidR="00F424CF" w:rsidRDefault="00F424CF" w:rsidP="00D31CD5">
            <w:pPr>
              <w:jc w:val="center"/>
              <w:cnfStyle w:val="000000000000"/>
              <w:rPr>
                <w:sz w:val="18"/>
                <w:szCs w:val="18"/>
              </w:rPr>
            </w:pPr>
            <w:r w:rsidRPr="0018560A">
              <w:rPr>
                <w:b/>
                <w:sz w:val="18"/>
                <w:szCs w:val="18"/>
              </w:rPr>
              <w:t>P</w:t>
            </w:r>
            <w:r>
              <w:rPr>
                <w:b/>
                <w:sz w:val="18"/>
                <w:szCs w:val="18"/>
              </w:rPr>
              <w:t>f</w:t>
            </w:r>
            <w:r w:rsidRPr="0018560A">
              <w:rPr>
                <w:b/>
                <w:sz w:val="18"/>
                <w:szCs w:val="18"/>
              </w:rPr>
              <w:t>ZW</w:t>
            </w:r>
          </w:p>
        </w:tc>
        <w:tc>
          <w:tcPr>
            <w:tcW w:w="1016" w:type="dxa"/>
            <w:tcBorders>
              <w:top w:val="single" w:sz="4" w:space="0" w:color="9FCB3B"/>
              <w:bottom w:val="single" w:sz="4" w:space="0" w:color="9FCB3B"/>
            </w:tcBorders>
          </w:tcPr>
          <w:p w:rsidR="00F424CF" w:rsidRDefault="00F424CF" w:rsidP="00D31CD5">
            <w:pPr>
              <w:jc w:val="center"/>
              <w:cnfStyle w:val="000000000000"/>
              <w:rPr>
                <w:sz w:val="18"/>
                <w:szCs w:val="18"/>
              </w:rPr>
            </w:pPr>
            <w:r w:rsidRPr="0018560A">
              <w:rPr>
                <w:b/>
                <w:sz w:val="18"/>
                <w:szCs w:val="18"/>
              </w:rPr>
              <w:t>Rabobank</w:t>
            </w:r>
          </w:p>
        </w:tc>
      </w:tr>
      <w:tr w:rsidR="00F424CF" w:rsidRPr="00031898" w:rsidTr="00D31CD5">
        <w:tc>
          <w:tcPr>
            <w:cnfStyle w:val="001000000000"/>
            <w:tcW w:w="2844" w:type="dxa"/>
            <w:tcBorders>
              <w:top w:val="single" w:sz="4" w:space="0" w:color="9FCB3B"/>
            </w:tcBorders>
          </w:tcPr>
          <w:p w:rsidR="00F424CF" w:rsidRPr="00031898" w:rsidRDefault="00F424CF" w:rsidP="0018560A">
            <w:pPr>
              <w:rPr>
                <w:sz w:val="18"/>
                <w:szCs w:val="18"/>
              </w:rPr>
            </w:pPr>
            <w:r>
              <w:rPr>
                <w:sz w:val="18"/>
                <w:szCs w:val="18"/>
              </w:rPr>
              <w:t>Archer Daniels Midland</w:t>
            </w:r>
          </w:p>
        </w:tc>
        <w:tc>
          <w:tcPr>
            <w:tcW w:w="1016" w:type="dxa"/>
            <w:tcBorders>
              <w:top w:val="single" w:sz="4" w:space="0" w:color="9FCB3B"/>
            </w:tcBorders>
          </w:tcPr>
          <w:p w:rsidR="00F424CF" w:rsidRPr="00031898" w:rsidRDefault="00F424CF" w:rsidP="00451D40">
            <w:pPr>
              <w:jc w:val="center"/>
              <w:cnfStyle w:val="000000000000"/>
              <w:rPr>
                <w:sz w:val="18"/>
                <w:szCs w:val="18"/>
              </w:rPr>
            </w:pPr>
            <w:r>
              <w:rPr>
                <w:sz w:val="18"/>
                <w:szCs w:val="18"/>
              </w:rPr>
              <w:t xml:space="preserve">S </w:t>
            </w: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S</w:t>
            </w: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S, B</w:t>
            </w: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S, B, L</w:t>
            </w:r>
          </w:p>
        </w:tc>
        <w:tc>
          <w:tcPr>
            <w:tcW w:w="1016" w:type="dxa"/>
            <w:tcBorders>
              <w:top w:val="single" w:sz="4" w:space="0" w:color="9FCB3B"/>
            </w:tcBorders>
          </w:tcPr>
          <w:p w:rsidR="00F424CF" w:rsidRPr="00031898" w:rsidRDefault="00F424CF" w:rsidP="00D31CD5">
            <w:pPr>
              <w:jc w:val="center"/>
              <w:cnfStyle w:val="000000000000"/>
              <w:rPr>
                <w:sz w:val="18"/>
                <w:szCs w:val="18"/>
              </w:rPr>
            </w:pPr>
            <w:r>
              <w:rPr>
                <w:sz w:val="18"/>
                <w:szCs w:val="18"/>
              </w:rPr>
              <w:t>S</w:t>
            </w:r>
          </w:p>
        </w:tc>
        <w:tc>
          <w:tcPr>
            <w:tcW w:w="1016" w:type="dxa"/>
            <w:tcBorders>
              <w:top w:val="single" w:sz="4" w:space="0" w:color="9FCB3B"/>
            </w:tcBorders>
          </w:tcPr>
          <w:p w:rsidR="00F424CF" w:rsidRPr="00031898" w:rsidRDefault="00F424CF" w:rsidP="0018560A">
            <w:pPr>
              <w:jc w:val="center"/>
              <w:cnfStyle w:val="000000000000"/>
              <w:rPr>
                <w:sz w:val="18"/>
                <w:szCs w:val="18"/>
              </w:rPr>
            </w:pPr>
            <w:r>
              <w:rPr>
                <w:sz w:val="18"/>
                <w:szCs w:val="18"/>
              </w:rPr>
              <w:t>L</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Bunge</w:t>
            </w:r>
          </w:p>
        </w:tc>
        <w:tc>
          <w:tcPr>
            <w:tcW w:w="1016" w:type="dxa"/>
          </w:tcPr>
          <w:p w:rsidR="00F424CF" w:rsidRPr="00031898" w:rsidRDefault="00F424CF" w:rsidP="0018560A">
            <w:pPr>
              <w:jc w:val="center"/>
              <w:cnfStyle w:val="000000000000"/>
              <w:rPr>
                <w:sz w:val="18"/>
                <w:szCs w:val="18"/>
              </w:rPr>
            </w:pPr>
            <w:r>
              <w:rPr>
                <w:sz w:val="18"/>
                <w:szCs w:val="18"/>
              </w:rPr>
              <w:t>L</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 B</w:t>
            </w:r>
          </w:p>
        </w:tc>
        <w:tc>
          <w:tcPr>
            <w:tcW w:w="1016" w:type="dxa"/>
          </w:tcPr>
          <w:p w:rsidR="00F424CF" w:rsidRPr="00031898" w:rsidRDefault="00F424CF" w:rsidP="0018560A">
            <w:pPr>
              <w:jc w:val="center"/>
              <w:cnfStyle w:val="000000000000"/>
              <w:rPr>
                <w:sz w:val="18"/>
                <w:szCs w:val="18"/>
              </w:rPr>
            </w:pPr>
            <w:r>
              <w:rPr>
                <w:sz w:val="18"/>
                <w:szCs w:val="18"/>
              </w:rPr>
              <w:t>S, B, L, BI</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L, BI</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Cargill</w:t>
            </w:r>
          </w:p>
        </w:tc>
        <w:tc>
          <w:tcPr>
            <w:tcW w:w="1016" w:type="dxa"/>
          </w:tcPr>
          <w:p w:rsidR="00F424CF" w:rsidRPr="00031898" w:rsidRDefault="00F424CF" w:rsidP="0018560A">
            <w:pPr>
              <w:jc w:val="center"/>
              <w:cnfStyle w:val="000000000000"/>
              <w:rPr>
                <w:sz w:val="18"/>
                <w:szCs w:val="18"/>
              </w:rPr>
            </w:pPr>
            <w:r>
              <w:rPr>
                <w:sz w:val="18"/>
                <w:szCs w:val="18"/>
              </w:rPr>
              <w:t>L</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B</w:t>
            </w:r>
          </w:p>
        </w:tc>
        <w:tc>
          <w:tcPr>
            <w:tcW w:w="1016" w:type="dxa"/>
          </w:tcPr>
          <w:p w:rsidR="00F424CF" w:rsidRPr="00031898" w:rsidRDefault="00F424CF" w:rsidP="0018560A">
            <w:pPr>
              <w:jc w:val="center"/>
              <w:cnfStyle w:val="000000000000"/>
              <w:rPr>
                <w:sz w:val="18"/>
                <w:szCs w:val="18"/>
              </w:rPr>
            </w:pPr>
            <w:r>
              <w:rPr>
                <w:sz w:val="18"/>
                <w:szCs w:val="18"/>
              </w:rPr>
              <w:t>B, L, BI</w:t>
            </w:r>
          </w:p>
        </w:tc>
        <w:tc>
          <w:tcPr>
            <w:tcW w:w="1016" w:type="dxa"/>
          </w:tcPr>
          <w:p w:rsidR="00F424CF" w:rsidRPr="00031898" w:rsidRDefault="00F424CF" w:rsidP="00D31CD5">
            <w:pPr>
              <w:jc w:val="center"/>
              <w:cnfStyle w:val="000000000000"/>
              <w:rPr>
                <w:sz w:val="18"/>
                <w:szCs w:val="18"/>
              </w:rPr>
            </w:pPr>
            <w:r>
              <w:rPr>
                <w:sz w:val="18"/>
                <w:szCs w:val="18"/>
              </w:rPr>
              <w:t>B</w:t>
            </w:r>
          </w:p>
        </w:tc>
        <w:tc>
          <w:tcPr>
            <w:tcW w:w="1016" w:type="dxa"/>
          </w:tcPr>
          <w:p w:rsidR="00F424CF" w:rsidRPr="00031898" w:rsidRDefault="00F424CF" w:rsidP="0018560A">
            <w:pPr>
              <w:jc w:val="center"/>
              <w:cnfStyle w:val="000000000000"/>
              <w:rPr>
                <w:sz w:val="18"/>
                <w:szCs w:val="18"/>
              </w:rPr>
            </w:pPr>
            <w:r>
              <w:rPr>
                <w:sz w:val="18"/>
                <w:szCs w:val="18"/>
              </w:rPr>
              <w:t>L, BI</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Copersucar</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D31CD5">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L</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Czarnikow</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D31CD5">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Louis Dreyfus</w:t>
            </w:r>
          </w:p>
        </w:tc>
        <w:tc>
          <w:tcPr>
            <w:tcW w:w="1016" w:type="dxa"/>
          </w:tcPr>
          <w:p w:rsidR="00F424CF" w:rsidRPr="00031898" w:rsidRDefault="00F424CF" w:rsidP="0018560A">
            <w:pPr>
              <w:jc w:val="center"/>
              <w:cnfStyle w:val="000000000000"/>
              <w:rPr>
                <w:sz w:val="18"/>
                <w:szCs w:val="18"/>
              </w:rPr>
            </w:pPr>
            <w:r>
              <w:rPr>
                <w:sz w:val="18"/>
                <w:szCs w:val="18"/>
              </w:rPr>
              <w:t>L</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L, BI</w:t>
            </w:r>
          </w:p>
        </w:tc>
        <w:tc>
          <w:tcPr>
            <w:tcW w:w="1016" w:type="dxa"/>
          </w:tcPr>
          <w:p w:rsidR="00F424CF" w:rsidRPr="00031898" w:rsidRDefault="00F424CF" w:rsidP="00D31CD5">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L</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lastRenderedPageBreak/>
              <w:t>Olam International</w:t>
            </w:r>
          </w:p>
        </w:tc>
        <w:tc>
          <w:tcPr>
            <w:tcW w:w="1016" w:type="dxa"/>
          </w:tcPr>
          <w:p w:rsidR="00F424CF" w:rsidRPr="00031898" w:rsidRDefault="00F424CF" w:rsidP="0018560A">
            <w:pPr>
              <w:jc w:val="center"/>
              <w:cnfStyle w:val="000000000000"/>
              <w:rPr>
                <w:sz w:val="18"/>
                <w:szCs w:val="18"/>
              </w:rPr>
            </w:pPr>
            <w:r>
              <w:rPr>
                <w:sz w:val="18"/>
                <w:szCs w:val="18"/>
              </w:rPr>
              <w:t>L</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B, L</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L</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Raizen</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D31CD5">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Sime Darby</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B</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p>
        </w:tc>
      </w:tr>
      <w:tr w:rsidR="00F424CF" w:rsidRPr="00031898" w:rsidTr="00D31CD5">
        <w:tc>
          <w:tcPr>
            <w:cnfStyle w:val="001000000000"/>
            <w:tcW w:w="2844" w:type="dxa"/>
          </w:tcPr>
          <w:p w:rsidR="00F424CF" w:rsidRPr="00031898" w:rsidRDefault="00F424CF" w:rsidP="0018560A">
            <w:pPr>
              <w:rPr>
                <w:sz w:val="18"/>
                <w:szCs w:val="18"/>
              </w:rPr>
            </w:pPr>
            <w:r w:rsidRPr="0018560A">
              <w:rPr>
                <w:sz w:val="18"/>
                <w:szCs w:val="18"/>
              </w:rPr>
              <w:t>Sucres &amp; Denrées</w:t>
            </w:r>
          </w:p>
        </w:tc>
        <w:tc>
          <w:tcPr>
            <w:tcW w:w="1016" w:type="dxa"/>
          </w:tcPr>
          <w:p w:rsidR="00F424CF" w:rsidRPr="00031898" w:rsidRDefault="00F424CF" w:rsidP="0018560A">
            <w:pPr>
              <w:jc w:val="center"/>
              <w:cnfStyle w:val="000000000000"/>
              <w:rPr>
                <w:sz w:val="18"/>
                <w:szCs w:val="18"/>
              </w:rPr>
            </w:pPr>
            <w:r>
              <w:rPr>
                <w:sz w:val="18"/>
                <w:szCs w:val="18"/>
              </w:rPr>
              <w:t>L</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L</w:t>
            </w:r>
          </w:p>
        </w:tc>
        <w:tc>
          <w:tcPr>
            <w:tcW w:w="1016" w:type="dxa"/>
          </w:tcPr>
          <w:p w:rsidR="00F424CF" w:rsidRPr="00031898" w:rsidRDefault="00F424CF" w:rsidP="00D31CD5">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L</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Tate &amp; Lyle</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L</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L</w:t>
            </w:r>
          </w:p>
        </w:tc>
      </w:tr>
      <w:tr w:rsidR="00F424CF" w:rsidRPr="00031898" w:rsidTr="00D31CD5">
        <w:tc>
          <w:tcPr>
            <w:cnfStyle w:val="001000000000"/>
            <w:tcW w:w="2844" w:type="dxa"/>
          </w:tcPr>
          <w:p w:rsidR="00F424CF" w:rsidRPr="00031898" w:rsidRDefault="00F424CF" w:rsidP="0018560A">
            <w:pPr>
              <w:rPr>
                <w:sz w:val="18"/>
                <w:szCs w:val="18"/>
              </w:rPr>
            </w:pPr>
            <w:r>
              <w:rPr>
                <w:sz w:val="18"/>
                <w:szCs w:val="18"/>
              </w:rPr>
              <w:t>Wilmar International</w:t>
            </w:r>
          </w:p>
        </w:tc>
        <w:tc>
          <w:tcPr>
            <w:tcW w:w="1016" w:type="dxa"/>
          </w:tcPr>
          <w:p w:rsidR="00F424CF" w:rsidRPr="00031898" w:rsidRDefault="00F424CF" w:rsidP="0018560A">
            <w:pPr>
              <w:jc w:val="center"/>
              <w:cnfStyle w:val="000000000000"/>
              <w:rPr>
                <w:sz w:val="18"/>
                <w:szCs w:val="18"/>
              </w:rPr>
            </w:pP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S</w:t>
            </w:r>
          </w:p>
        </w:tc>
        <w:tc>
          <w:tcPr>
            <w:tcW w:w="1016" w:type="dxa"/>
          </w:tcPr>
          <w:p w:rsidR="00F424CF" w:rsidRPr="00031898" w:rsidRDefault="00F424CF" w:rsidP="00D31CD5">
            <w:pPr>
              <w:jc w:val="center"/>
              <w:cnfStyle w:val="000000000000"/>
              <w:rPr>
                <w:sz w:val="18"/>
                <w:szCs w:val="18"/>
              </w:rPr>
            </w:pPr>
            <w:r>
              <w:rPr>
                <w:sz w:val="18"/>
                <w:szCs w:val="18"/>
              </w:rPr>
              <w:t>S</w:t>
            </w:r>
          </w:p>
        </w:tc>
        <w:tc>
          <w:tcPr>
            <w:tcW w:w="1016" w:type="dxa"/>
          </w:tcPr>
          <w:p w:rsidR="00F424CF" w:rsidRPr="00031898" w:rsidRDefault="00F424CF" w:rsidP="0018560A">
            <w:pPr>
              <w:jc w:val="center"/>
              <w:cnfStyle w:val="000000000000"/>
              <w:rPr>
                <w:sz w:val="18"/>
                <w:szCs w:val="18"/>
              </w:rPr>
            </w:pPr>
            <w:r>
              <w:rPr>
                <w:sz w:val="18"/>
                <w:szCs w:val="18"/>
              </w:rPr>
              <w:t>L</w:t>
            </w:r>
          </w:p>
        </w:tc>
      </w:tr>
    </w:tbl>
    <w:p w:rsidR="0018560A" w:rsidRPr="00550AAC" w:rsidRDefault="005A7965" w:rsidP="0018560A">
      <w:pPr>
        <w:pStyle w:val="Tabelbron"/>
      </w:pPr>
      <w:r w:rsidRPr="00550AAC">
        <w:t xml:space="preserve"> </w:t>
      </w:r>
      <w:r w:rsidR="0018560A" w:rsidRPr="00550AAC">
        <w:t xml:space="preserve">Key: S = </w:t>
      </w:r>
      <w:r w:rsidR="00F66257">
        <w:t>S</w:t>
      </w:r>
      <w:r w:rsidR="0018560A" w:rsidRPr="00550AAC">
        <w:t xml:space="preserve">hareholding; B = </w:t>
      </w:r>
      <w:r w:rsidR="00F66257">
        <w:t>B</w:t>
      </w:r>
      <w:r w:rsidR="0018560A" w:rsidRPr="00550AAC">
        <w:t xml:space="preserve">ondholding; SI = Share </w:t>
      </w:r>
      <w:r w:rsidR="00F66257">
        <w:t>i</w:t>
      </w:r>
      <w:r w:rsidR="0018560A" w:rsidRPr="00550AAC">
        <w:t xml:space="preserve">ssuance; BI = Bond </w:t>
      </w:r>
      <w:r w:rsidR="00F66257">
        <w:t>i</w:t>
      </w:r>
      <w:r w:rsidR="0018560A" w:rsidRPr="00550AAC">
        <w:t>ssuance; L = Loan.</w:t>
      </w:r>
    </w:p>
    <w:p w:rsidR="005A7965" w:rsidRPr="00550AAC" w:rsidRDefault="005A7965" w:rsidP="005A7965"/>
    <w:p w:rsidR="00652FBA" w:rsidRDefault="00652FBA" w:rsidP="00652FBA">
      <w:r w:rsidRPr="00261DAB">
        <w:t xml:space="preserve">From the results summarized in </w:t>
      </w:r>
      <w:fldSimple w:instr=" REF _Ref363471356 \r \h  \* MERGEFORMAT ">
        <w:r w:rsidR="00D74F7E">
          <w:t>Table 1</w:t>
        </w:r>
      </w:fldSimple>
      <w:r w:rsidRPr="00261DAB">
        <w:t>, we can draw the following conclusions:</w:t>
      </w:r>
    </w:p>
    <w:p w:rsidR="00261DAB" w:rsidRDefault="00261DAB" w:rsidP="00652FBA"/>
    <w:p w:rsidR="00261DAB" w:rsidRDefault="00261DAB" w:rsidP="00261DAB">
      <w:pPr>
        <w:pStyle w:val="Opsomming3"/>
      </w:pPr>
      <w:r>
        <w:t xml:space="preserve">The Dutch financial institution most involved in financing </w:t>
      </w:r>
      <w:r w:rsidR="00D31CD5">
        <w:t>the researched food companies is ING group, which has financial relationships with</w:t>
      </w:r>
      <w:r>
        <w:t xml:space="preserve"> 18 of the 22 selected food companies. ING holds shares of 1</w:t>
      </w:r>
      <w:r w:rsidR="009D3419">
        <w:t>2</w:t>
      </w:r>
      <w:r>
        <w:t xml:space="preserve"> companies, is a bondholder of 13 companies, acted as an underwriter in bond issuances to five companies and provided loans to nine companies. </w:t>
      </w:r>
    </w:p>
    <w:p w:rsidR="00AC11A1" w:rsidRDefault="001419B9" w:rsidP="00261DAB">
      <w:pPr>
        <w:pStyle w:val="Opsomming3"/>
      </w:pPr>
      <w:r>
        <w:t>Aegon (1</w:t>
      </w:r>
      <w:r w:rsidR="009D3419">
        <w:t>5</w:t>
      </w:r>
      <w:r>
        <w:t xml:space="preserve"> companies) and Rabobank (1</w:t>
      </w:r>
      <w:r w:rsidR="009D3419">
        <w:t>5</w:t>
      </w:r>
      <w:r>
        <w:t xml:space="preserve"> companies) </w:t>
      </w:r>
      <w:r w:rsidR="00261DAB">
        <w:t>are also highly involved in f</w:t>
      </w:r>
      <w:r>
        <w:t xml:space="preserve">inancing the selected companies. </w:t>
      </w:r>
      <w:r w:rsidR="00261DAB">
        <w:t>However</w:t>
      </w:r>
      <w:r w:rsidR="001E4267">
        <w:t>, the range of financing provided to companies by these two institutions is more limited. Aegon only serves as holder</w:t>
      </w:r>
      <w:r w:rsidR="00AC11A1">
        <w:t xml:space="preserve"> of shares and bonds, while Rabobank on the other hand focuses on managing bond issuances and providing loans.</w:t>
      </w:r>
    </w:p>
    <w:p w:rsidR="00261DAB" w:rsidRDefault="00AC11A1" w:rsidP="00261DAB">
      <w:pPr>
        <w:pStyle w:val="Opsomming3"/>
      </w:pPr>
      <w:r>
        <w:t xml:space="preserve">The two pension funds, ABP en PfZW, are both involved in financing 15 companies, mostly as shareholders. </w:t>
      </w:r>
      <w:r w:rsidR="00107D5D">
        <w:t xml:space="preserve">For </w:t>
      </w:r>
      <w:r>
        <w:t xml:space="preserve">ABP </w:t>
      </w:r>
      <w:r w:rsidR="00107D5D">
        <w:t>no</w:t>
      </w:r>
      <w:r>
        <w:t xml:space="preserve"> bond</w:t>
      </w:r>
      <w:r w:rsidR="00107D5D">
        <w:t>holding</w:t>
      </w:r>
      <w:r>
        <w:t>s</w:t>
      </w:r>
      <w:r w:rsidR="00107D5D">
        <w:t xml:space="preserve"> were found</w:t>
      </w:r>
      <w:r>
        <w:t>, while PfZW holds bonds of two companies.</w:t>
      </w:r>
    </w:p>
    <w:p w:rsidR="00AC11A1" w:rsidRDefault="00AC11A1" w:rsidP="00AC11A1">
      <w:pPr>
        <w:pStyle w:val="Opsomming3"/>
      </w:pPr>
      <w:r>
        <w:t xml:space="preserve">ABN Amro is the least active in financing the selected food companies, but still </w:t>
      </w:r>
      <w:r w:rsidR="00D31CD5">
        <w:t>has financing relationships with</w:t>
      </w:r>
      <w:r>
        <w:t xml:space="preserve"> </w:t>
      </w:r>
      <w:r w:rsidR="009D3419">
        <w:t>nine</w:t>
      </w:r>
      <w:r>
        <w:t xml:space="preserve"> of the 22 companies under review.</w:t>
      </w:r>
    </w:p>
    <w:p w:rsidR="00AC11A1" w:rsidRDefault="00AC11A1" w:rsidP="00AC11A1">
      <w:pPr>
        <w:pStyle w:val="Opsomming3"/>
      </w:pPr>
      <w:r>
        <w:t xml:space="preserve">The companies with the most ties to Dutch financial institutions are Behind the Brands companies Coca-Cola and </w:t>
      </w:r>
      <w:r w:rsidRPr="00AC11A1">
        <w:t>Nestlé</w:t>
      </w:r>
      <w:r>
        <w:t xml:space="preserve"> and palm oil, sugar and soy trader</w:t>
      </w:r>
      <w:r w:rsidR="009D3419">
        <w:t>s Archer Daniels Midland and Bunge</w:t>
      </w:r>
      <w:r>
        <w:t>. All six Dutch financial institutions are involved in financing these companies.</w:t>
      </w:r>
    </w:p>
    <w:p w:rsidR="00AC11A1" w:rsidRDefault="00AC11A1" w:rsidP="00AC11A1">
      <w:pPr>
        <w:pStyle w:val="Opsomming3"/>
      </w:pPr>
      <w:r>
        <w:t xml:space="preserve">Only two </w:t>
      </w:r>
      <w:r w:rsidR="00521F91">
        <w:t>of the 22 companies researched do not have any ties with</w:t>
      </w:r>
      <w:r>
        <w:t xml:space="preserve"> Dutch financial institutions: Czarnikow and Raizen. Other companies with little </w:t>
      </w:r>
      <w:r w:rsidR="00D31CD5">
        <w:t>financial relationships with</w:t>
      </w:r>
      <w:r w:rsidR="001419B9">
        <w:t xml:space="preserve"> Dutch financial institutions</w:t>
      </w:r>
      <w:r>
        <w:t xml:space="preserve"> are Mars, Copersucar, Louis Dreyfus and </w:t>
      </w:r>
      <w:r w:rsidRPr="00AC11A1">
        <w:t>Sucres &amp; Denrées</w:t>
      </w:r>
      <w:r w:rsidR="002E40AE">
        <w:t>.</w:t>
      </w:r>
    </w:p>
    <w:p w:rsidR="00652FBA" w:rsidRPr="001D0134" w:rsidRDefault="00652FBA"/>
    <w:p w:rsidR="00652FBA" w:rsidRPr="001419B9" w:rsidRDefault="00652FBA">
      <w:pPr>
        <w:rPr>
          <w:lang w:val="en-US"/>
        </w:rPr>
      </w:pPr>
    </w:p>
    <w:p w:rsidR="00652FBA" w:rsidRPr="001419B9" w:rsidRDefault="00652FBA">
      <w:pPr>
        <w:rPr>
          <w:lang w:val="en-US"/>
        </w:rPr>
      </w:pPr>
    </w:p>
    <w:p w:rsidR="00E61253" w:rsidRPr="001419B9" w:rsidRDefault="00E61253">
      <w:pPr>
        <w:rPr>
          <w:lang w:val="en-US"/>
        </w:rPr>
      </w:pPr>
    </w:p>
    <w:p w:rsidR="00E61253" w:rsidRPr="001419B9" w:rsidRDefault="00E61253">
      <w:pPr>
        <w:rPr>
          <w:lang w:val="en-US"/>
        </w:rPr>
      </w:pPr>
    </w:p>
    <w:p w:rsidR="00E61253" w:rsidRPr="001419B9" w:rsidRDefault="00E61253">
      <w:pPr>
        <w:rPr>
          <w:lang w:val="en-US"/>
        </w:rPr>
      </w:pPr>
    </w:p>
    <w:p w:rsidR="00E61253" w:rsidRPr="001419B9" w:rsidRDefault="00E61253" w:rsidP="006902B4">
      <w:pPr>
        <w:rPr>
          <w:lang w:val="en-US"/>
        </w:rPr>
        <w:sectPr w:rsidR="00E61253" w:rsidRPr="001419B9" w:rsidSect="00E92CEA">
          <w:footerReference w:type="default" r:id="rId13"/>
          <w:endnotePr>
            <w:numFmt w:val="decimal"/>
          </w:endnotePr>
          <w:pgSz w:w="11905" w:h="16837"/>
          <w:pgMar w:top="1418" w:right="1418" w:bottom="1418" w:left="1418" w:header="851" w:footer="851" w:gutter="0"/>
          <w:pgNumType w:fmt="lowerRoman" w:start="1"/>
          <w:cols w:space="708"/>
          <w:noEndnote/>
          <w:docGrid w:linePitch="88"/>
        </w:sectPr>
      </w:pPr>
    </w:p>
    <w:p w:rsidR="00E61253" w:rsidRPr="00546F0A" w:rsidRDefault="00E61253" w:rsidP="003561F5">
      <w:pPr>
        <w:pStyle w:val="Heading4"/>
        <w:rPr>
          <w:lang w:val="en-US"/>
        </w:rPr>
      </w:pPr>
      <w:bookmarkStart w:id="3" w:name="_Toc365554323"/>
      <w:r w:rsidRPr="00546F0A">
        <w:rPr>
          <w:lang w:val="en-US"/>
        </w:rPr>
        <w:lastRenderedPageBreak/>
        <w:t>Introduction</w:t>
      </w:r>
      <w:bookmarkEnd w:id="3"/>
    </w:p>
    <w:p w:rsidR="00E61253" w:rsidRPr="00546F0A" w:rsidRDefault="00E61253">
      <w:pPr>
        <w:rPr>
          <w:lang w:val="en-US"/>
        </w:rPr>
      </w:pPr>
    </w:p>
    <w:p w:rsidR="004A35D9" w:rsidRDefault="004A35D9" w:rsidP="004A35D9">
      <w:pPr>
        <w:rPr>
          <w:lang w:val="en-US"/>
        </w:rPr>
      </w:pPr>
      <w:r w:rsidRPr="00C25ADD">
        <w:t xml:space="preserve">This report provides an insight in the financial relationships between </w:t>
      </w:r>
      <w:r>
        <w:t xml:space="preserve">six Dutch financial institutions </w:t>
      </w:r>
      <w:r w:rsidRPr="00C25ADD">
        <w:t xml:space="preserve">(including their subsidiaries) and </w:t>
      </w:r>
      <w:r>
        <w:t xml:space="preserve">22 food </w:t>
      </w:r>
      <w:r w:rsidRPr="00C25ADD">
        <w:t xml:space="preserve">producers </w:t>
      </w:r>
      <w:r>
        <w:t>and processors</w:t>
      </w:r>
      <w:r w:rsidRPr="00C25ADD">
        <w:t xml:space="preserve"> since </w:t>
      </w:r>
      <w:r>
        <w:t>1 July</w:t>
      </w:r>
      <w:r w:rsidRPr="00C25ADD">
        <w:t xml:space="preserve"> 20</w:t>
      </w:r>
      <w:r>
        <w:t xml:space="preserve">10: 10 international food companies, which are included in Oxfam’s Behind the Brands campaign, as well as 12 major palm oil, soy and sugar traders. The research focussed on </w:t>
      </w:r>
      <w:r>
        <w:rPr>
          <w:lang w:val="en-US"/>
        </w:rPr>
        <w:t>six Dutch financial institutions</w:t>
      </w:r>
      <w:r w:rsidRPr="00546F0A">
        <w:rPr>
          <w:lang w:val="en-US"/>
        </w:rPr>
        <w:t>:</w:t>
      </w:r>
    </w:p>
    <w:p w:rsidR="004A35D9" w:rsidRPr="00546F0A" w:rsidRDefault="004A35D9" w:rsidP="004A35D9">
      <w:pPr>
        <w:rPr>
          <w:lang w:val="en-US"/>
        </w:rPr>
      </w:pPr>
    </w:p>
    <w:p w:rsidR="004A35D9" w:rsidRPr="00546F0A" w:rsidRDefault="004A35D9" w:rsidP="004A35D9">
      <w:pPr>
        <w:pStyle w:val="Opsomming3"/>
        <w:rPr>
          <w:lang w:val="en-US"/>
        </w:rPr>
      </w:pPr>
      <w:r w:rsidRPr="00546F0A">
        <w:rPr>
          <w:lang w:val="en-US"/>
        </w:rPr>
        <w:t>ABN Amro</w:t>
      </w:r>
    </w:p>
    <w:p w:rsidR="004A35D9" w:rsidRPr="00546F0A" w:rsidRDefault="004A35D9" w:rsidP="004A35D9">
      <w:pPr>
        <w:pStyle w:val="Opsomming3"/>
        <w:rPr>
          <w:lang w:val="en-US"/>
        </w:rPr>
      </w:pPr>
      <w:r w:rsidRPr="00546F0A">
        <w:rPr>
          <w:lang w:val="en-US"/>
        </w:rPr>
        <w:t xml:space="preserve">ABP </w:t>
      </w:r>
    </w:p>
    <w:p w:rsidR="004A35D9" w:rsidRPr="00546F0A" w:rsidRDefault="004A35D9" w:rsidP="004A35D9">
      <w:pPr>
        <w:pStyle w:val="Opsomming3"/>
        <w:rPr>
          <w:lang w:val="en-US"/>
        </w:rPr>
      </w:pPr>
      <w:r w:rsidRPr="00546F0A">
        <w:rPr>
          <w:lang w:val="en-US"/>
        </w:rPr>
        <w:t>Aegon</w:t>
      </w:r>
    </w:p>
    <w:p w:rsidR="004A35D9" w:rsidRPr="00546F0A" w:rsidRDefault="004A35D9" w:rsidP="004A35D9">
      <w:pPr>
        <w:pStyle w:val="Opsomming3"/>
        <w:rPr>
          <w:lang w:val="en-US"/>
        </w:rPr>
      </w:pPr>
      <w:r w:rsidRPr="00546F0A">
        <w:rPr>
          <w:lang w:val="en-US"/>
        </w:rPr>
        <w:t>ING</w:t>
      </w:r>
    </w:p>
    <w:p w:rsidR="004A35D9" w:rsidRPr="00CB18AB" w:rsidRDefault="004A35D9" w:rsidP="004A35D9">
      <w:pPr>
        <w:pStyle w:val="Opsomming3"/>
        <w:rPr>
          <w:lang w:val="nl-NL"/>
        </w:rPr>
      </w:pPr>
      <w:r w:rsidRPr="00CB18AB">
        <w:rPr>
          <w:lang w:val="nl-NL"/>
        </w:rPr>
        <w:t>Pensioenfonds Zorg en Welzijn (PfZW</w:t>
      </w:r>
      <w:r>
        <w:rPr>
          <w:lang w:val="nl-NL"/>
        </w:rPr>
        <w:t>)</w:t>
      </w:r>
    </w:p>
    <w:p w:rsidR="004A35D9" w:rsidRPr="00546F0A" w:rsidRDefault="004A35D9" w:rsidP="004A35D9">
      <w:pPr>
        <w:pStyle w:val="Opsomming3"/>
        <w:rPr>
          <w:lang w:val="en-US"/>
        </w:rPr>
      </w:pPr>
      <w:r w:rsidRPr="00546F0A">
        <w:rPr>
          <w:lang w:val="en-US"/>
        </w:rPr>
        <w:t>Rabobank</w:t>
      </w:r>
    </w:p>
    <w:p w:rsidR="004A35D9" w:rsidRPr="00550AAC" w:rsidRDefault="004A35D9" w:rsidP="004A35D9"/>
    <w:p w:rsidR="004A35D9" w:rsidRPr="00550AAC" w:rsidRDefault="004A35D9" w:rsidP="004A35D9">
      <w:r w:rsidRPr="00550AAC">
        <w:t xml:space="preserve">We searched and identified all shares and bonds </w:t>
      </w:r>
      <w:r>
        <w:t>issued by</w:t>
      </w:r>
      <w:r w:rsidRPr="00550AAC">
        <w:t xml:space="preserve"> the </w:t>
      </w:r>
      <w:r>
        <w:t>22</w:t>
      </w:r>
      <w:r w:rsidRPr="00550AAC">
        <w:t xml:space="preserve"> </w:t>
      </w:r>
      <w:r>
        <w:t xml:space="preserve">food companies which are </w:t>
      </w:r>
      <w:r w:rsidRPr="00550AAC">
        <w:t xml:space="preserve">held by investment funds managed by the </w:t>
      </w:r>
      <w:r>
        <w:t xml:space="preserve">Dutch financial institutions </w:t>
      </w:r>
      <w:r w:rsidRPr="00550AAC">
        <w:t xml:space="preserve">and their subsidiaries at present. Moreover, we have researched the involvement of </w:t>
      </w:r>
      <w:r>
        <w:t>Dutch financial institutions</w:t>
      </w:r>
      <w:r w:rsidRPr="00550AAC">
        <w:t xml:space="preserve"> in issuances of shares and bonds by these companies since </w:t>
      </w:r>
      <w:r>
        <w:t>1 July</w:t>
      </w:r>
      <w:r w:rsidRPr="00550AAC">
        <w:t xml:space="preserve"> 20</w:t>
      </w:r>
      <w:r>
        <w:t>10</w:t>
      </w:r>
      <w:r w:rsidRPr="00550AAC">
        <w:t xml:space="preserve">. Finally we identified all loans provided by </w:t>
      </w:r>
      <w:r>
        <w:t>Dutch financial institutions</w:t>
      </w:r>
      <w:r w:rsidRPr="00550AAC">
        <w:t xml:space="preserve"> to companies on our list since </w:t>
      </w:r>
      <w:r>
        <w:t>1 July</w:t>
      </w:r>
      <w:r w:rsidRPr="00550AAC">
        <w:t xml:space="preserve"> 20</w:t>
      </w:r>
      <w:r>
        <w:t>10</w:t>
      </w:r>
      <w:r w:rsidRPr="00550AAC">
        <w:t>.</w:t>
      </w:r>
    </w:p>
    <w:p w:rsidR="004A35D9" w:rsidRPr="00550AAC" w:rsidRDefault="004A35D9" w:rsidP="004A35D9"/>
    <w:p w:rsidR="004A35D9" w:rsidRPr="00546F0A" w:rsidRDefault="004A35D9" w:rsidP="004A35D9">
      <w:pPr>
        <w:rPr>
          <w:lang w:val="en-US"/>
        </w:rPr>
      </w:pPr>
      <w:r>
        <w:rPr>
          <w:lang w:val="en-US"/>
        </w:rPr>
        <w:t xml:space="preserve">This report is structured as follow: </w:t>
      </w:r>
      <w:r w:rsidR="00E55126">
        <w:rPr>
          <w:lang w:val="en-US"/>
        </w:rPr>
        <w:fldChar w:fldCharType="begin"/>
      </w:r>
      <w:r>
        <w:rPr>
          <w:lang w:val="en-US"/>
        </w:rPr>
        <w:instrText xml:space="preserve"> REF _Ref365281697 \r \h </w:instrText>
      </w:r>
      <w:r w:rsidR="00E55126">
        <w:rPr>
          <w:lang w:val="en-US"/>
        </w:rPr>
      </w:r>
      <w:r w:rsidR="00E55126">
        <w:rPr>
          <w:lang w:val="en-US"/>
        </w:rPr>
        <w:fldChar w:fldCharType="separate"/>
      </w:r>
      <w:r w:rsidR="00D74F7E">
        <w:rPr>
          <w:lang w:val="en-US"/>
        </w:rPr>
        <w:t>Chapter 1</w:t>
      </w:r>
      <w:r w:rsidR="00E55126">
        <w:rPr>
          <w:lang w:val="en-US"/>
        </w:rPr>
        <w:fldChar w:fldCharType="end"/>
      </w:r>
      <w:r>
        <w:rPr>
          <w:lang w:val="en-US"/>
        </w:rPr>
        <w:t xml:space="preserve"> describes the methodology used. </w:t>
      </w:r>
      <w:r w:rsidR="00E55126">
        <w:rPr>
          <w:lang w:val="en-US"/>
        </w:rPr>
        <w:fldChar w:fldCharType="begin"/>
      </w:r>
      <w:r>
        <w:rPr>
          <w:lang w:val="en-US"/>
        </w:rPr>
        <w:instrText xml:space="preserve"> REF _Ref365281740 \r \h </w:instrText>
      </w:r>
      <w:r w:rsidR="00E55126">
        <w:rPr>
          <w:lang w:val="en-US"/>
        </w:rPr>
      </w:r>
      <w:r w:rsidR="00E55126">
        <w:rPr>
          <w:lang w:val="en-US"/>
        </w:rPr>
        <w:fldChar w:fldCharType="separate"/>
      </w:r>
      <w:r w:rsidR="00D74F7E">
        <w:rPr>
          <w:lang w:val="en-US"/>
        </w:rPr>
        <w:t>Chapter 2</w:t>
      </w:r>
      <w:r w:rsidR="00E55126">
        <w:rPr>
          <w:lang w:val="en-US"/>
        </w:rPr>
        <w:fldChar w:fldCharType="end"/>
      </w:r>
      <w:r>
        <w:rPr>
          <w:lang w:val="en-US"/>
        </w:rPr>
        <w:t xml:space="preserve"> until </w:t>
      </w:r>
      <w:r w:rsidR="00E55126">
        <w:rPr>
          <w:lang w:val="en-US"/>
        </w:rPr>
        <w:fldChar w:fldCharType="begin"/>
      </w:r>
      <w:r>
        <w:rPr>
          <w:lang w:val="en-US"/>
        </w:rPr>
        <w:instrText xml:space="preserve"> REF _Ref365281748 \r \h </w:instrText>
      </w:r>
      <w:r w:rsidR="00E55126">
        <w:rPr>
          <w:lang w:val="en-US"/>
        </w:rPr>
      </w:r>
      <w:r w:rsidR="00E55126">
        <w:rPr>
          <w:lang w:val="en-US"/>
        </w:rPr>
        <w:fldChar w:fldCharType="separate"/>
      </w:r>
      <w:r w:rsidR="00D74F7E">
        <w:rPr>
          <w:lang w:val="en-US"/>
        </w:rPr>
        <w:t>Chapter 7</w:t>
      </w:r>
      <w:r w:rsidR="00E55126">
        <w:rPr>
          <w:lang w:val="en-US"/>
        </w:rPr>
        <w:fldChar w:fldCharType="end"/>
      </w:r>
      <w:r>
        <w:rPr>
          <w:lang w:val="en-US"/>
        </w:rPr>
        <w:t xml:space="preserve"> describes </w:t>
      </w:r>
      <w:r w:rsidR="00C06587">
        <w:rPr>
          <w:lang w:val="en-US"/>
        </w:rPr>
        <w:t xml:space="preserve">the findings on financial relationships between the six financial institutions and the 22 food companies in detail, in individual chapters for each financial institution. </w:t>
      </w:r>
      <w:r w:rsidRPr="00546F0A">
        <w:rPr>
          <w:lang w:val="en-US"/>
        </w:rPr>
        <w:t>A summary of the findings of this report can be found on the first pages of this report.</w:t>
      </w:r>
    </w:p>
    <w:p w:rsidR="004A35D9" w:rsidRDefault="004A35D9" w:rsidP="000D5FD2">
      <w:pPr>
        <w:rPr>
          <w:lang w:val="en-US"/>
        </w:rPr>
      </w:pPr>
    </w:p>
    <w:p w:rsidR="004A35D9" w:rsidRDefault="004A35D9" w:rsidP="000D5FD2">
      <w:pPr>
        <w:rPr>
          <w:lang w:val="en-US"/>
        </w:rPr>
      </w:pPr>
    </w:p>
    <w:p w:rsidR="004A35D9" w:rsidRDefault="004A35D9">
      <w:pPr>
        <w:keepLines w:val="0"/>
        <w:rPr>
          <w:lang w:val="en-US"/>
        </w:rPr>
      </w:pPr>
      <w:r>
        <w:rPr>
          <w:lang w:val="en-US"/>
        </w:rPr>
        <w:br w:type="page"/>
      </w:r>
    </w:p>
    <w:p w:rsidR="004A35D9" w:rsidRDefault="00C06587" w:rsidP="004A35D9">
      <w:pPr>
        <w:pStyle w:val="Heading1"/>
        <w:rPr>
          <w:lang w:val="en-US"/>
        </w:rPr>
      </w:pPr>
      <w:bookmarkStart w:id="4" w:name="_Toc365554324"/>
      <w:bookmarkStart w:id="5" w:name="_Ref365281697"/>
      <w:r>
        <w:rPr>
          <w:lang w:val="en-US"/>
        </w:rPr>
        <w:lastRenderedPageBreak/>
        <w:t>Methodology</w:t>
      </w:r>
      <w:bookmarkEnd w:id="4"/>
    </w:p>
    <w:p w:rsidR="00C06587" w:rsidRDefault="00C06587" w:rsidP="00C06587">
      <w:pPr>
        <w:pStyle w:val="Heading2"/>
        <w:rPr>
          <w:lang w:val="en-US"/>
        </w:rPr>
      </w:pPr>
      <w:bookmarkStart w:id="6" w:name="_Toc365554325"/>
      <w:bookmarkEnd w:id="5"/>
      <w:r>
        <w:rPr>
          <w:lang w:val="en-US"/>
        </w:rPr>
        <w:t>Research objective</w:t>
      </w:r>
      <w:bookmarkEnd w:id="6"/>
    </w:p>
    <w:p w:rsidR="004A35D9" w:rsidRDefault="005E4657" w:rsidP="000D5FD2">
      <w:pPr>
        <w:rPr>
          <w:lang w:val="en-US"/>
        </w:rPr>
      </w:pPr>
      <w:r w:rsidRPr="00546F0A">
        <w:rPr>
          <w:lang w:val="en-US"/>
        </w:rPr>
        <w:t xml:space="preserve">The purpose of this study is to provide an overview of the financial relationships between </w:t>
      </w:r>
      <w:r w:rsidR="00CB18AB">
        <w:rPr>
          <w:lang w:val="en-US"/>
        </w:rPr>
        <w:t>six</w:t>
      </w:r>
      <w:r w:rsidRPr="00546F0A">
        <w:rPr>
          <w:lang w:val="en-US"/>
        </w:rPr>
        <w:t xml:space="preserve"> Dutch financial institutions and 22 companies in the international food industry in the past three years (since 1 July 2010).</w:t>
      </w:r>
    </w:p>
    <w:p w:rsidR="004A35D9" w:rsidRDefault="004A35D9" w:rsidP="000D5FD2">
      <w:pPr>
        <w:rPr>
          <w:lang w:val="en-US"/>
        </w:rPr>
      </w:pPr>
    </w:p>
    <w:p w:rsidR="004A35D9" w:rsidRDefault="00C06587" w:rsidP="00C06587">
      <w:pPr>
        <w:pStyle w:val="Heading2"/>
        <w:rPr>
          <w:lang w:val="en-US"/>
        </w:rPr>
      </w:pPr>
      <w:bookmarkStart w:id="7" w:name="_Toc365554326"/>
      <w:r>
        <w:rPr>
          <w:lang w:val="en-US"/>
        </w:rPr>
        <w:t>Selection of financial institutions</w:t>
      </w:r>
      <w:bookmarkEnd w:id="7"/>
    </w:p>
    <w:p w:rsidR="000D5FD2" w:rsidRPr="00546F0A" w:rsidRDefault="005E4657" w:rsidP="000D5FD2">
      <w:pPr>
        <w:rPr>
          <w:lang w:val="en-US"/>
        </w:rPr>
      </w:pPr>
      <w:r w:rsidRPr="00546F0A">
        <w:rPr>
          <w:lang w:val="en-US"/>
        </w:rPr>
        <w:t xml:space="preserve"> The </w:t>
      </w:r>
      <w:r w:rsidR="00CB18AB">
        <w:rPr>
          <w:lang w:val="en-US"/>
        </w:rPr>
        <w:t>six</w:t>
      </w:r>
      <w:r w:rsidRPr="00546F0A">
        <w:rPr>
          <w:lang w:val="en-US"/>
        </w:rPr>
        <w:t xml:space="preserve"> Dutch financial institutions, including their subsidiaries</w:t>
      </w:r>
      <w:r w:rsidR="00546F0A" w:rsidRPr="00546F0A">
        <w:rPr>
          <w:lang w:val="en-US"/>
        </w:rPr>
        <w:t>,</w:t>
      </w:r>
      <w:r w:rsidRPr="00546F0A">
        <w:rPr>
          <w:lang w:val="en-US"/>
        </w:rPr>
        <w:t xml:space="preserve"> are</w:t>
      </w:r>
      <w:r w:rsidR="00C06587">
        <w:rPr>
          <w:lang w:val="en-US"/>
        </w:rPr>
        <w:t xml:space="preserve"> researched</w:t>
      </w:r>
      <w:r w:rsidRPr="00546F0A">
        <w:rPr>
          <w:lang w:val="en-US"/>
        </w:rPr>
        <w:t>:</w:t>
      </w:r>
      <w:r w:rsidR="00B32471">
        <w:rPr>
          <w:lang w:val="en-US"/>
        </w:rPr>
        <w:t xml:space="preserve"> </w:t>
      </w:r>
    </w:p>
    <w:p w:rsidR="005E4657" w:rsidRPr="00546F0A" w:rsidRDefault="005E4657" w:rsidP="000D5FD2">
      <w:pPr>
        <w:rPr>
          <w:lang w:val="en-US"/>
        </w:rPr>
      </w:pPr>
    </w:p>
    <w:p w:rsidR="000D5FD2" w:rsidRPr="00546F0A" w:rsidRDefault="000D5FD2" w:rsidP="000D5FD2">
      <w:pPr>
        <w:pStyle w:val="Opsomming3"/>
        <w:rPr>
          <w:lang w:val="en-US"/>
        </w:rPr>
      </w:pPr>
      <w:r w:rsidRPr="00546F0A">
        <w:rPr>
          <w:lang w:val="en-US"/>
        </w:rPr>
        <w:t>ABN Amro</w:t>
      </w:r>
    </w:p>
    <w:p w:rsidR="000D5FD2" w:rsidRPr="00546F0A" w:rsidRDefault="000D5FD2" w:rsidP="000D5FD2">
      <w:pPr>
        <w:pStyle w:val="Opsomming3"/>
        <w:rPr>
          <w:lang w:val="en-US"/>
        </w:rPr>
      </w:pPr>
      <w:r w:rsidRPr="00546F0A">
        <w:rPr>
          <w:lang w:val="en-US"/>
        </w:rPr>
        <w:t xml:space="preserve">ABP </w:t>
      </w:r>
    </w:p>
    <w:p w:rsidR="000D5FD2" w:rsidRPr="00546F0A" w:rsidRDefault="000D5FD2" w:rsidP="000D5FD2">
      <w:pPr>
        <w:pStyle w:val="Opsomming3"/>
        <w:rPr>
          <w:lang w:val="en-US"/>
        </w:rPr>
      </w:pPr>
      <w:r w:rsidRPr="00546F0A">
        <w:rPr>
          <w:lang w:val="en-US"/>
        </w:rPr>
        <w:t>Aegon</w:t>
      </w:r>
    </w:p>
    <w:p w:rsidR="000D5FD2" w:rsidRPr="00546F0A" w:rsidRDefault="000D5FD2" w:rsidP="000D5FD2">
      <w:pPr>
        <w:pStyle w:val="Opsomming3"/>
        <w:rPr>
          <w:lang w:val="en-US"/>
        </w:rPr>
      </w:pPr>
      <w:r w:rsidRPr="00546F0A">
        <w:rPr>
          <w:lang w:val="en-US"/>
        </w:rPr>
        <w:t>ING</w:t>
      </w:r>
    </w:p>
    <w:p w:rsidR="000D5FD2" w:rsidRPr="00CB18AB" w:rsidRDefault="000D5FD2" w:rsidP="000D5FD2">
      <w:pPr>
        <w:pStyle w:val="Opsomming3"/>
        <w:rPr>
          <w:lang w:val="nl-NL"/>
        </w:rPr>
      </w:pPr>
      <w:r w:rsidRPr="00CB18AB">
        <w:rPr>
          <w:lang w:val="nl-NL"/>
        </w:rPr>
        <w:t>P</w:t>
      </w:r>
      <w:r w:rsidR="00CB18AB" w:rsidRPr="00CB18AB">
        <w:rPr>
          <w:lang w:val="nl-NL"/>
        </w:rPr>
        <w:t>ensioenfonds Zorg en Welzijn (P</w:t>
      </w:r>
      <w:r w:rsidRPr="00CB18AB">
        <w:rPr>
          <w:lang w:val="nl-NL"/>
        </w:rPr>
        <w:t>fZW</w:t>
      </w:r>
      <w:r w:rsidR="00CB18AB">
        <w:rPr>
          <w:lang w:val="nl-NL"/>
        </w:rPr>
        <w:t>)</w:t>
      </w:r>
    </w:p>
    <w:p w:rsidR="000D5FD2" w:rsidRPr="00546F0A" w:rsidRDefault="000D5FD2" w:rsidP="000D5FD2">
      <w:pPr>
        <w:pStyle w:val="Opsomming3"/>
        <w:rPr>
          <w:lang w:val="en-US"/>
        </w:rPr>
      </w:pPr>
      <w:r w:rsidRPr="00546F0A">
        <w:rPr>
          <w:lang w:val="en-US"/>
        </w:rPr>
        <w:t>Rabobank</w:t>
      </w:r>
    </w:p>
    <w:p w:rsidR="000D5FD2" w:rsidRDefault="000D5FD2" w:rsidP="000D5FD2">
      <w:pPr>
        <w:rPr>
          <w:lang w:val="en-US"/>
        </w:rPr>
      </w:pPr>
    </w:p>
    <w:p w:rsidR="00C06587" w:rsidRDefault="00C06587" w:rsidP="00C06587">
      <w:pPr>
        <w:pStyle w:val="Heading2"/>
        <w:rPr>
          <w:lang w:val="en-US"/>
        </w:rPr>
      </w:pPr>
      <w:bookmarkStart w:id="8" w:name="_Toc365554327"/>
      <w:r>
        <w:rPr>
          <w:lang w:val="en-US"/>
        </w:rPr>
        <w:t>Selection of food companies</w:t>
      </w:r>
      <w:bookmarkEnd w:id="8"/>
    </w:p>
    <w:p w:rsidR="000D5FD2" w:rsidRPr="00546F0A" w:rsidRDefault="00546F0A" w:rsidP="000D5FD2">
      <w:pPr>
        <w:rPr>
          <w:lang w:val="en-US"/>
        </w:rPr>
      </w:pPr>
      <w:r w:rsidRPr="00546F0A">
        <w:rPr>
          <w:lang w:val="en-US"/>
        </w:rPr>
        <w:t xml:space="preserve">The following </w:t>
      </w:r>
      <w:r w:rsidR="0090049A">
        <w:rPr>
          <w:lang w:val="en-US"/>
        </w:rPr>
        <w:t>10</w:t>
      </w:r>
      <w:r w:rsidR="000D5FD2" w:rsidRPr="00546F0A">
        <w:rPr>
          <w:lang w:val="en-US"/>
        </w:rPr>
        <w:t xml:space="preserve"> </w:t>
      </w:r>
      <w:r w:rsidRPr="00546F0A">
        <w:rPr>
          <w:lang w:val="en-US"/>
        </w:rPr>
        <w:t xml:space="preserve">international food </w:t>
      </w:r>
      <w:r w:rsidR="0090049A">
        <w:rPr>
          <w:lang w:val="en-US"/>
        </w:rPr>
        <w:t>companies, which are included in Oxfam’s Behind the Brands campaign,</w:t>
      </w:r>
      <w:r w:rsidRPr="00546F0A">
        <w:rPr>
          <w:lang w:val="en-US"/>
        </w:rPr>
        <w:t xml:space="preserve"> are </w:t>
      </w:r>
      <w:r w:rsidR="009A46A4">
        <w:rPr>
          <w:lang w:val="en-US"/>
        </w:rPr>
        <w:t>included in the analysis</w:t>
      </w:r>
      <w:r w:rsidRPr="00546F0A">
        <w:rPr>
          <w:lang w:val="en-US"/>
        </w:rPr>
        <w:t>:</w:t>
      </w:r>
    </w:p>
    <w:p w:rsidR="000D5FD2" w:rsidRPr="00546F0A" w:rsidRDefault="000D5FD2" w:rsidP="000D5FD2">
      <w:pPr>
        <w:rPr>
          <w:lang w:val="en-US"/>
        </w:rPr>
      </w:pPr>
    </w:p>
    <w:p w:rsidR="000D5FD2" w:rsidRPr="00546F0A" w:rsidRDefault="000D5FD2" w:rsidP="000D5FD2">
      <w:pPr>
        <w:pStyle w:val="Opsomming3"/>
        <w:rPr>
          <w:lang w:val="en-US"/>
        </w:rPr>
      </w:pPr>
      <w:r w:rsidRPr="00546F0A">
        <w:rPr>
          <w:lang w:val="en-US"/>
        </w:rPr>
        <w:t>Associated British Foods (ABF)</w:t>
      </w:r>
      <w:r w:rsidRPr="00546F0A">
        <w:rPr>
          <w:lang w:val="en-US"/>
        </w:rPr>
        <w:tab/>
      </w:r>
      <w:r w:rsidR="00546F0A" w:rsidRPr="00546F0A">
        <w:rPr>
          <w:lang w:val="en-US"/>
        </w:rPr>
        <w:t>United Kingdom</w:t>
      </w:r>
    </w:p>
    <w:p w:rsidR="000D5FD2" w:rsidRPr="00546F0A" w:rsidRDefault="000D5FD2" w:rsidP="000D5FD2">
      <w:pPr>
        <w:pStyle w:val="Opsomming3"/>
        <w:rPr>
          <w:lang w:val="en-US"/>
        </w:rPr>
      </w:pPr>
      <w:r w:rsidRPr="00546F0A">
        <w:rPr>
          <w:lang w:val="en-US"/>
        </w:rPr>
        <w:t>Coca-Cola</w:t>
      </w:r>
      <w:r w:rsidRPr="00546F0A">
        <w:rPr>
          <w:lang w:val="en-US"/>
        </w:rPr>
        <w:tab/>
      </w:r>
      <w:r w:rsidR="00546F0A" w:rsidRPr="00546F0A">
        <w:rPr>
          <w:lang w:val="en-US"/>
        </w:rPr>
        <w:t>United States</w:t>
      </w:r>
    </w:p>
    <w:p w:rsidR="000D5FD2" w:rsidRPr="00546F0A" w:rsidRDefault="000D5FD2" w:rsidP="000D5FD2">
      <w:pPr>
        <w:pStyle w:val="Opsomming3"/>
        <w:rPr>
          <w:lang w:val="en-US"/>
        </w:rPr>
      </w:pPr>
      <w:r w:rsidRPr="00546F0A">
        <w:rPr>
          <w:lang w:val="en-US"/>
        </w:rPr>
        <w:t>Danone</w:t>
      </w:r>
      <w:r w:rsidRPr="00546F0A">
        <w:rPr>
          <w:lang w:val="en-US"/>
        </w:rPr>
        <w:tab/>
      </w:r>
      <w:r w:rsidR="00546F0A" w:rsidRPr="00546F0A">
        <w:rPr>
          <w:lang w:val="en-US"/>
        </w:rPr>
        <w:t>France</w:t>
      </w:r>
    </w:p>
    <w:p w:rsidR="000D5FD2" w:rsidRPr="00546F0A" w:rsidRDefault="000D5FD2" w:rsidP="000D5FD2">
      <w:pPr>
        <w:pStyle w:val="Opsomming3"/>
        <w:rPr>
          <w:lang w:val="en-US"/>
        </w:rPr>
      </w:pPr>
      <w:r w:rsidRPr="00546F0A">
        <w:rPr>
          <w:lang w:val="en-US"/>
        </w:rPr>
        <w:t>General Mills</w:t>
      </w:r>
      <w:r w:rsidRPr="00546F0A">
        <w:rPr>
          <w:lang w:val="en-US"/>
        </w:rPr>
        <w:tab/>
      </w:r>
      <w:r w:rsidR="00546F0A" w:rsidRPr="00546F0A">
        <w:rPr>
          <w:lang w:val="en-US"/>
        </w:rPr>
        <w:t>United States</w:t>
      </w:r>
    </w:p>
    <w:p w:rsidR="000D5FD2" w:rsidRPr="00546F0A" w:rsidRDefault="000D5FD2" w:rsidP="000D5FD2">
      <w:pPr>
        <w:pStyle w:val="Opsomming3"/>
        <w:rPr>
          <w:lang w:val="en-US"/>
        </w:rPr>
      </w:pPr>
      <w:r w:rsidRPr="00546F0A">
        <w:rPr>
          <w:lang w:val="en-US"/>
        </w:rPr>
        <w:t>Kellogg</w:t>
      </w:r>
      <w:r w:rsidRPr="00546F0A">
        <w:rPr>
          <w:lang w:val="en-US"/>
        </w:rPr>
        <w:tab/>
      </w:r>
      <w:r w:rsidR="00546F0A" w:rsidRPr="00546F0A">
        <w:rPr>
          <w:lang w:val="en-US"/>
        </w:rPr>
        <w:t>United States</w:t>
      </w:r>
    </w:p>
    <w:p w:rsidR="000D5FD2" w:rsidRPr="00546F0A" w:rsidRDefault="000D5FD2" w:rsidP="000D5FD2">
      <w:pPr>
        <w:pStyle w:val="Opsomming3"/>
        <w:rPr>
          <w:lang w:val="en-US"/>
        </w:rPr>
      </w:pPr>
      <w:r w:rsidRPr="00546F0A">
        <w:rPr>
          <w:lang w:val="en-US"/>
        </w:rPr>
        <w:t>Mars</w:t>
      </w:r>
      <w:r w:rsidRPr="00546F0A">
        <w:rPr>
          <w:lang w:val="en-US"/>
        </w:rPr>
        <w:tab/>
      </w:r>
      <w:r w:rsidR="00546F0A" w:rsidRPr="00546F0A">
        <w:rPr>
          <w:lang w:val="en-US"/>
        </w:rPr>
        <w:t>United States</w:t>
      </w:r>
    </w:p>
    <w:p w:rsidR="000226F3" w:rsidRPr="000226F3" w:rsidRDefault="000226F3" w:rsidP="000226F3">
      <w:pPr>
        <w:pStyle w:val="Opsomming3"/>
        <w:rPr>
          <w:lang w:val="en-US"/>
        </w:rPr>
      </w:pPr>
      <w:r w:rsidRPr="000226F3">
        <w:rPr>
          <w:lang w:val="en-US"/>
        </w:rPr>
        <w:t>Mondelēz International</w:t>
      </w:r>
      <w:r>
        <w:rPr>
          <w:lang w:val="en-US"/>
        </w:rPr>
        <w:tab/>
        <w:t>United States</w:t>
      </w:r>
    </w:p>
    <w:p w:rsidR="000D5FD2" w:rsidRPr="00546F0A" w:rsidRDefault="000D5FD2" w:rsidP="000D5FD2">
      <w:pPr>
        <w:pStyle w:val="Opsomming3"/>
        <w:rPr>
          <w:lang w:val="en-US"/>
        </w:rPr>
      </w:pPr>
      <w:r w:rsidRPr="00546F0A">
        <w:rPr>
          <w:lang w:val="en-US"/>
        </w:rPr>
        <w:t>Nestlé</w:t>
      </w:r>
      <w:r w:rsidRPr="00546F0A">
        <w:rPr>
          <w:lang w:val="en-US"/>
        </w:rPr>
        <w:tab/>
      </w:r>
      <w:r w:rsidR="00546F0A" w:rsidRPr="00546F0A">
        <w:rPr>
          <w:lang w:val="en-US"/>
        </w:rPr>
        <w:t>S</w:t>
      </w:r>
      <w:r w:rsidRPr="00546F0A">
        <w:rPr>
          <w:lang w:val="en-US"/>
        </w:rPr>
        <w:t>wit</w:t>
      </w:r>
      <w:r w:rsidR="00546F0A" w:rsidRPr="00546F0A">
        <w:rPr>
          <w:lang w:val="en-US"/>
        </w:rPr>
        <w:t>z</w:t>
      </w:r>
      <w:r w:rsidRPr="00546F0A">
        <w:rPr>
          <w:lang w:val="en-US"/>
        </w:rPr>
        <w:t>erland</w:t>
      </w:r>
    </w:p>
    <w:p w:rsidR="000D5FD2" w:rsidRPr="00546F0A" w:rsidRDefault="000D5FD2" w:rsidP="000D5FD2">
      <w:pPr>
        <w:pStyle w:val="Opsomming3"/>
        <w:rPr>
          <w:lang w:val="en-US"/>
        </w:rPr>
      </w:pPr>
      <w:r w:rsidRPr="00546F0A">
        <w:rPr>
          <w:lang w:val="en-US"/>
        </w:rPr>
        <w:t>PepsiCo</w:t>
      </w:r>
      <w:r w:rsidRPr="00546F0A">
        <w:rPr>
          <w:lang w:val="en-US"/>
        </w:rPr>
        <w:tab/>
      </w:r>
      <w:r w:rsidR="00546F0A" w:rsidRPr="00546F0A">
        <w:rPr>
          <w:lang w:val="en-US"/>
        </w:rPr>
        <w:t>United States</w:t>
      </w:r>
    </w:p>
    <w:p w:rsidR="000D5FD2" w:rsidRDefault="000D5FD2" w:rsidP="000D5FD2">
      <w:pPr>
        <w:pStyle w:val="Opsomming3"/>
        <w:rPr>
          <w:lang w:val="en-US"/>
        </w:rPr>
      </w:pPr>
      <w:r w:rsidRPr="00546F0A">
        <w:rPr>
          <w:lang w:val="en-US"/>
        </w:rPr>
        <w:t>Unilever</w:t>
      </w:r>
      <w:r w:rsidRPr="00546F0A">
        <w:rPr>
          <w:lang w:val="en-US"/>
        </w:rPr>
        <w:tab/>
      </w:r>
      <w:r w:rsidR="00546F0A" w:rsidRPr="00546F0A">
        <w:rPr>
          <w:lang w:val="en-US"/>
        </w:rPr>
        <w:t>United Kingdom</w:t>
      </w:r>
      <w:r w:rsidRPr="00546F0A">
        <w:rPr>
          <w:lang w:val="en-US"/>
        </w:rPr>
        <w:t>/</w:t>
      </w:r>
      <w:r w:rsidR="00546F0A" w:rsidRPr="00546F0A">
        <w:rPr>
          <w:lang w:val="en-US"/>
        </w:rPr>
        <w:t>Netherland</w:t>
      </w:r>
      <w:r w:rsidR="0090049A">
        <w:rPr>
          <w:lang w:val="en-US"/>
        </w:rPr>
        <w:t>s</w:t>
      </w:r>
    </w:p>
    <w:p w:rsidR="0090049A" w:rsidRDefault="0090049A" w:rsidP="0090049A">
      <w:pPr>
        <w:pStyle w:val="Opsomming3"/>
        <w:numPr>
          <w:ilvl w:val="0"/>
          <w:numId w:val="0"/>
        </w:numPr>
        <w:ind w:left="567" w:hanging="283"/>
        <w:rPr>
          <w:lang w:val="en-US"/>
        </w:rPr>
      </w:pPr>
    </w:p>
    <w:p w:rsidR="0090049A" w:rsidRPr="0090049A" w:rsidRDefault="0090049A" w:rsidP="0090049A">
      <w:r>
        <w:t>Additionally, the following 12 palm oi</w:t>
      </w:r>
      <w:r w:rsidR="00B32471">
        <w:t>l</w:t>
      </w:r>
      <w:r>
        <w:t>, soy and sugar traders are also included in the analysis:</w:t>
      </w:r>
    </w:p>
    <w:p w:rsidR="0090049A" w:rsidRPr="00546F0A" w:rsidRDefault="0090049A" w:rsidP="0090049A">
      <w:pPr>
        <w:pStyle w:val="Opsomming3"/>
        <w:numPr>
          <w:ilvl w:val="0"/>
          <w:numId w:val="0"/>
        </w:numPr>
        <w:ind w:left="567" w:hanging="283"/>
        <w:rPr>
          <w:lang w:val="en-US"/>
        </w:rPr>
      </w:pPr>
    </w:p>
    <w:p w:rsidR="000D5FD2" w:rsidRPr="00546F0A" w:rsidRDefault="000D5FD2" w:rsidP="000D5FD2">
      <w:pPr>
        <w:pStyle w:val="Opsomming3"/>
        <w:rPr>
          <w:lang w:val="en-US"/>
        </w:rPr>
      </w:pPr>
      <w:r w:rsidRPr="00546F0A">
        <w:rPr>
          <w:lang w:val="en-US"/>
        </w:rPr>
        <w:t>Archer Daniels Midland (ADM)</w:t>
      </w:r>
      <w:r w:rsidRPr="00546F0A">
        <w:rPr>
          <w:lang w:val="en-US"/>
        </w:rPr>
        <w:tab/>
      </w:r>
      <w:r w:rsidR="00546F0A" w:rsidRPr="00546F0A">
        <w:rPr>
          <w:lang w:val="en-US"/>
        </w:rPr>
        <w:t>United States</w:t>
      </w:r>
    </w:p>
    <w:p w:rsidR="000D5FD2" w:rsidRPr="00546F0A" w:rsidRDefault="000D5FD2" w:rsidP="000D5FD2">
      <w:pPr>
        <w:pStyle w:val="Opsomming3"/>
        <w:rPr>
          <w:lang w:val="en-US"/>
        </w:rPr>
      </w:pPr>
      <w:r w:rsidRPr="00546F0A">
        <w:rPr>
          <w:lang w:val="en-US"/>
        </w:rPr>
        <w:t xml:space="preserve">Bunge </w:t>
      </w:r>
      <w:r w:rsidRPr="00546F0A">
        <w:rPr>
          <w:lang w:val="en-US"/>
        </w:rPr>
        <w:tab/>
      </w:r>
      <w:r w:rsidR="00546F0A" w:rsidRPr="00546F0A">
        <w:rPr>
          <w:lang w:val="en-US"/>
        </w:rPr>
        <w:t>United States</w:t>
      </w:r>
    </w:p>
    <w:p w:rsidR="000D5FD2" w:rsidRPr="00546F0A" w:rsidRDefault="000D5FD2" w:rsidP="000D5FD2">
      <w:pPr>
        <w:pStyle w:val="Opsomming3"/>
        <w:rPr>
          <w:lang w:val="en-US"/>
        </w:rPr>
      </w:pPr>
      <w:r w:rsidRPr="00546F0A">
        <w:rPr>
          <w:lang w:val="en-US"/>
        </w:rPr>
        <w:t xml:space="preserve">Cargill </w:t>
      </w:r>
      <w:r w:rsidRPr="00546F0A">
        <w:rPr>
          <w:lang w:val="en-US"/>
        </w:rPr>
        <w:tab/>
      </w:r>
      <w:r w:rsidR="00546F0A" w:rsidRPr="00546F0A">
        <w:rPr>
          <w:lang w:val="en-US"/>
        </w:rPr>
        <w:t>United States</w:t>
      </w:r>
    </w:p>
    <w:p w:rsidR="000D5FD2" w:rsidRPr="00546F0A" w:rsidRDefault="000D5FD2" w:rsidP="000D5FD2">
      <w:pPr>
        <w:pStyle w:val="Opsomming3"/>
        <w:rPr>
          <w:lang w:val="en-US"/>
        </w:rPr>
      </w:pPr>
      <w:r w:rsidRPr="00546F0A">
        <w:rPr>
          <w:lang w:val="en-US"/>
        </w:rPr>
        <w:t>Copersucar</w:t>
      </w:r>
      <w:r w:rsidRPr="00546F0A">
        <w:rPr>
          <w:lang w:val="en-US"/>
        </w:rPr>
        <w:tab/>
      </w:r>
      <w:r w:rsidR="00546F0A" w:rsidRPr="00546F0A">
        <w:rPr>
          <w:lang w:val="en-US"/>
        </w:rPr>
        <w:t>Brazil</w:t>
      </w:r>
    </w:p>
    <w:p w:rsidR="000D5FD2" w:rsidRPr="00546F0A" w:rsidRDefault="000D5FD2" w:rsidP="000D5FD2">
      <w:pPr>
        <w:pStyle w:val="Opsomming3"/>
        <w:rPr>
          <w:lang w:val="en-US"/>
        </w:rPr>
      </w:pPr>
      <w:r w:rsidRPr="00546F0A">
        <w:rPr>
          <w:lang w:val="en-US"/>
        </w:rPr>
        <w:t>Czarnikow</w:t>
      </w:r>
      <w:r w:rsidRPr="00546F0A">
        <w:rPr>
          <w:lang w:val="en-US"/>
        </w:rPr>
        <w:tab/>
      </w:r>
      <w:r w:rsidR="00546F0A" w:rsidRPr="00546F0A">
        <w:rPr>
          <w:lang w:val="en-US"/>
        </w:rPr>
        <w:t>United Kingdom</w:t>
      </w:r>
    </w:p>
    <w:p w:rsidR="000D5FD2" w:rsidRPr="00546F0A" w:rsidRDefault="000D5FD2" w:rsidP="000D5FD2">
      <w:pPr>
        <w:pStyle w:val="Opsomming3"/>
        <w:rPr>
          <w:lang w:val="en-US"/>
        </w:rPr>
      </w:pPr>
      <w:r w:rsidRPr="00546F0A">
        <w:rPr>
          <w:lang w:val="en-US"/>
        </w:rPr>
        <w:t>Louis Dreyfus</w:t>
      </w:r>
      <w:r w:rsidRPr="00546F0A">
        <w:rPr>
          <w:lang w:val="en-US"/>
        </w:rPr>
        <w:tab/>
      </w:r>
      <w:r w:rsidR="00546F0A" w:rsidRPr="00546F0A">
        <w:rPr>
          <w:lang w:val="en-US"/>
        </w:rPr>
        <w:t>France</w:t>
      </w:r>
    </w:p>
    <w:p w:rsidR="000D5FD2" w:rsidRPr="00546F0A" w:rsidRDefault="000D5FD2" w:rsidP="000D5FD2">
      <w:pPr>
        <w:pStyle w:val="Opsomming3"/>
        <w:rPr>
          <w:lang w:val="en-US"/>
        </w:rPr>
      </w:pPr>
      <w:r w:rsidRPr="00546F0A">
        <w:rPr>
          <w:lang w:val="en-US"/>
        </w:rPr>
        <w:t>Olam International</w:t>
      </w:r>
      <w:r w:rsidRPr="00546F0A">
        <w:rPr>
          <w:lang w:val="en-US"/>
        </w:rPr>
        <w:tab/>
        <w:t>Singapore</w:t>
      </w:r>
    </w:p>
    <w:p w:rsidR="000D5FD2" w:rsidRPr="00546F0A" w:rsidRDefault="000D5FD2" w:rsidP="000D5FD2">
      <w:pPr>
        <w:pStyle w:val="Opsomming3"/>
        <w:rPr>
          <w:lang w:val="en-US"/>
        </w:rPr>
      </w:pPr>
      <w:r w:rsidRPr="00546F0A">
        <w:rPr>
          <w:lang w:val="en-US"/>
        </w:rPr>
        <w:t>Raizen</w:t>
      </w:r>
      <w:r w:rsidRPr="00546F0A">
        <w:rPr>
          <w:lang w:val="en-US"/>
        </w:rPr>
        <w:tab/>
      </w:r>
      <w:r w:rsidR="00546F0A" w:rsidRPr="00546F0A">
        <w:rPr>
          <w:lang w:val="en-US"/>
        </w:rPr>
        <w:t>Brazil</w:t>
      </w:r>
    </w:p>
    <w:p w:rsidR="000D5FD2" w:rsidRPr="00546F0A" w:rsidRDefault="000D5FD2" w:rsidP="000D5FD2">
      <w:pPr>
        <w:pStyle w:val="Opsomming3"/>
        <w:rPr>
          <w:lang w:val="en-US"/>
        </w:rPr>
      </w:pPr>
      <w:r w:rsidRPr="00546F0A">
        <w:rPr>
          <w:lang w:val="en-US"/>
        </w:rPr>
        <w:t>Sime Darby</w:t>
      </w:r>
      <w:r w:rsidRPr="00546F0A">
        <w:rPr>
          <w:lang w:val="en-US"/>
        </w:rPr>
        <w:tab/>
      </w:r>
      <w:r w:rsidR="00546F0A" w:rsidRPr="00546F0A">
        <w:rPr>
          <w:lang w:val="en-US"/>
        </w:rPr>
        <w:t>Malaysia</w:t>
      </w:r>
    </w:p>
    <w:p w:rsidR="000D5FD2" w:rsidRPr="00546F0A" w:rsidRDefault="000D5FD2" w:rsidP="000D5FD2">
      <w:pPr>
        <w:pStyle w:val="Opsomming3"/>
        <w:rPr>
          <w:lang w:val="en-US"/>
        </w:rPr>
      </w:pPr>
      <w:r w:rsidRPr="00546F0A">
        <w:rPr>
          <w:lang w:val="en-US"/>
        </w:rPr>
        <w:t>Sucres &amp; Denrées (Sucden)</w:t>
      </w:r>
      <w:r w:rsidRPr="00546F0A">
        <w:rPr>
          <w:lang w:val="en-US"/>
        </w:rPr>
        <w:tab/>
      </w:r>
      <w:r w:rsidR="00546F0A" w:rsidRPr="00546F0A">
        <w:rPr>
          <w:lang w:val="en-US"/>
        </w:rPr>
        <w:t>France</w:t>
      </w:r>
    </w:p>
    <w:p w:rsidR="000D5FD2" w:rsidRPr="00546F0A" w:rsidRDefault="000D5FD2" w:rsidP="000D5FD2">
      <w:pPr>
        <w:pStyle w:val="Opsomming3"/>
        <w:rPr>
          <w:lang w:val="en-US"/>
        </w:rPr>
      </w:pPr>
      <w:r w:rsidRPr="00546F0A">
        <w:rPr>
          <w:lang w:val="en-US"/>
        </w:rPr>
        <w:t>Tate &amp; Lyle</w:t>
      </w:r>
      <w:r w:rsidRPr="00546F0A">
        <w:rPr>
          <w:lang w:val="en-US"/>
        </w:rPr>
        <w:tab/>
      </w:r>
      <w:r w:rsidR="00546F0A" w:rsidRPr="00546F0A">
        <w:rPr>
          <w:lang w:val="en-US"/>
        </w:rPr>
        <w:t>United Kingdom</w:t>
      </w:r>
    </w:p>
    <w:p w:rsidR="000D5FD2" w:rsidRPr="00546F0A" w:rsidRDefault="000D5FD2" w:rsidP="000D5FD2">
      <w:pPr>
        <w:pStyle w:val="Opsomming3"/>
        <w:rPr>
          <w:lang w:val="en-US"/>
        </w:rPr>
      </w:pPr>
      <w:r w:rsidRPr="00546F0A">
        <w:rPr>
          <w:lang w:val="en-US"/>
        </w:rPr>
        <w:t>Wilmar International</w:t>
      </w:r>
      <w:r w:rsidRPr="00546F0A">
        <w:rPr>
          <w:lang w:val="en-US"/>
        </w:rPr>
        <w:tab/>
        <w:t>Singapore</w:t>
      </w:r>
    </w:p>
    <w:p w:rsidR="000D5FD2" w:rsidRPr="00546F0A" w:rsidRDefault="000D5FD2" w:rsidP="000D5FD2">
      <w:pPr>
        <w:pStyle w:val="Opsomming3"/>
        <w:numPr>
          <w:ilvl w:val="0"/>
          <w:numId w:val="0"/>
        </w:numPr>
        <w:ind w:left="567"/>
        <w:rPr>
          <w:lang w:val="en-US"/>
        </w:rPr>
      </w:pPr>
    </w:p>
    <w:p w:rsidR="00C06587" w:rsidRDefault="00C06587" w:rsidP="00521F91">
      <w:pPr>
        <w:pStyle w:val="Heading2"/>
      </w:pPr>
      <w:bookmarkStart w:id="9" w:name="_Toc365554328"/>
      <w:r>
        <w:lastRenderedPageBreak/>
        <w:t>Forms of financing researched</w:t>
      </w:r>
      <w:bookmarkEnd w:id="9"/>
    </w:p>
    <w:p w:rsidR="00521F91" w:rsidRPr="00805B5C" w:rsidRDefault="00521F91" w:rsidP="00521F91">
      <w:r w:rsidRPr="00805B5C">
        <w:t xml:space="preserve">The </w:t>
      </w:r>
      <w:r w:rsidR="00C06587">
        <w:t>6</w:t>
      </w:r>
      <w:r w:rsidRPr="00805B5C">
        <w:t xml:space="preserve"> selected financial institutions can be involved in the financing of the </w:t>
      </w:r>
      <w:r w:rsidR="00C06587">
        <w:t>22</w:t>
      </w:r>
      <w:r w:rsidRPr="00805B5C">
        <w:t xml:space="preserve"> selected companies by providing corporate loans, by assisting companies with share- and bond issuances, and by (managing) investments in shares and bonds of these companies. Below, these financing categories are discussed in more detail:</w:t>
      </w:r>
    </w:p>
    <w:p w:rsidR="00521F91" w:rsidRPr="00805B5C" w:rsidRDefault="00521F91" w:rsidP="00521F91"/>
    <w:p w:rsidR="00521F91" w:rsidRPr="00805B5C" w:rsidRDefault="00521F91" w:rsidP="00521F91">
      <w:pPr>
        <w:pStyle w:val="Opsomming2"/>
      </w:pPr>
      <w:r w:rsidRPr="00805B5C">
        <w:rPr>
          <w:b/>
        </w:rPr>
        <w:t>Corporate loans</w:t>
      </w:r>
      <w:r w:rsidRPr="00805B5C">
        <w:t>: The easiest way to obtain debt is to borrow money. In most cases, money is borrowed from commercial banks. Loans can be either short-term or long-term in nature. Short-term loans (including trade credits, current accounts, leasing agreements, et cetera) have a maturity of less than a year. They are mostly used as working capital for day-to-day operations. Short-term debts are often provided by a single commercial bank, which does not ask for substantial guarantees from the company.</w:t>
      </w:r>
    </w:p>
    <w:p w:rsidR="00521F91" w:rsidRPr="00805B5C" w:rsidRDefault="00521F91" w:rsidP="00521F91">
      <w:pPr>
        <w:pStyle w:val="Opsomming2"/>
        <w:numPr>
          <w:ilvl w:val="0"/>
          <w:numId w:val="0"/>
        </w:numPr>
        <w:ind w:left="284"/>
      </w:pPr>
      <w:r w:rsidRPr="00805B5C">
        <w:t>A long-term loan has a maturity of at least one year, but generally of three to ten years. Long-term corporate loans are in particular useful to finance expansion plans, which only generate rewards after some period of time. The proceeds of corporate loans can be used for all activities of the company. Often long-term loans are extended by a loan syndicate, which is a group of banks brought together by one or more arranging banks. The loan syndicate will only undersign the loan agreement if the company can provide certain guarantees that interest and repayments on the loan will be fulfilled.</w:t>
      </w:r>
    </w:p>
    <w:p w:rsidR="00521F91" w:rsidRPr="00805B5C" w:rsidRDefault="00521F91" w:rsidP="00521F91">
      <w:pPr>
        <w:pStyle w:val="Opsomming2"/>
        <w:numPr>
          <w:ilvl w:val="0"/>
          <w:numId w:val="0"/>
        </w:numPr>
        <w:ind w:left="284"/>
      </w:pPr>
    </w:p>
    <w:p w:rsidR="00521F91" w:rsidRPr="00805B5C" w:rsidRDefault="00521F91" w:rsidP="00521F91">
      <w:pPr>
        <w:pStyle w:val="Opsomming2"/>
      </w:pPr>
      <w:r w:rsidRPr="00805B5C">
        <w:rPr>
          <w:b/>
        </w:rPr>
        <w:t>Share issuances</w:t>
      </w:r>
      <w:r w:rsidRPr="00805B5C">
        <w:t>: Issuing shares on the stock exchange gives a company the opportunity to increase its equity by attracting a large number of new shareholders or increase the equity from its existing shareholders. These shareholders can be private investors as well as institutional investors.</w:t>
      </w:r>
    </w:p>
    <w:p w:rsidR="00521F91" w:rsidRPr="00805B5C" w:rsidRDefault="00521F91" w:rsidP="00521F91">
      <w:pPr>
        <w:pStyle w:val="Opsomming2"/>
        <w:numPr>
          <w:ilvl w:val="0"/>
          <w:numId w:val="0"/>
        </w:numPr>
        <w:ind w:left="284"/>
      </w:pPr>
      <w:r w:rsidRPr="00805B5C">
        <w:t>When it’s the first time a company offers its shares on the stock exchange, this is called an Initial Public Offering (IPO). When a company’s shares are already traded on the stock exchange, this is called a secondary offering of additional shares.</w:t>
      </w:r>
    </w:p>
    <w:p w:rsidR="00521F91" w:rsidRPr="00805B5C" w:rsidRDefault="00521F91" w:rsidP="00521F91">
      <w:pPr>
        <w:pStyle w:val="Opsomming2"/>
        <w:numPr>
          <w:ilvl w:val="0"/>
          <w:numId w:val="0"/>
        </w:numPr>
        <w:ind w:left="284"/>
      </w:pPr>
      <w:r w:rsidRPr="00805B5C">
        <w:t>To arrange an IPO or a secondary offering, a company needs the assistance of one or more (investment) banks, which will promote the shares and find shareholders. The role of investment banks in this process therefore is very important.</w:t>
      </w:r>
    </w:p>
    <w:p w:rsidR="00521F91" w:rsidRPr="00805B5C" w:rsidRDefault="00521F91" w:rsidP="00521F91">
      <w:pPr>
        <w:pStyle w:val="Opsomming2"/>
        <w:numPr>
          <w:ilvl w:val="0"/>
          <w:numId w:val="0"/>
        </w:numPr>
        <w:ind w:left="284"/>
      </w:pPr>
    </w:p>
    <w:p w:rsidR="00521F91" w:rsidRPr="00805B5C" w:rsidRDefault="00521F91" w:rsidP="00521F91">
      <w:pPr>
        <w:pStyle w:val="Opsomming2"/>
      </w:pPr>
      <w:r w:rsidRPr="00805B5C">
        <w:rPr>
          <w:b/>
        </w:rPr>
        <w:t>Bond issuances</w:t>
      </w:r>
      <w:r w:rsidRPr="00805B5C">
        <w:t>: Issuing bonds can best be described as cutting a large loan into small pieces, and selling each piece separately. Bonds are issued on a large scale by governments, but also by corporations. Like shares, bonds are traded on the stock exchange. Bonds are sold on the capital market, to private investors as well as institutional investors. Banks rarely buy any bonds. But to issue bonds, a company needs the assistance of one or more (investment) banks which underwrite a certain amount of the bonds. Underwriting is in effect buying with the intention of selling to investors. Still, in case the investment bank fails to sell all bonds it has underwritten, it will end up owning the bonds.</w:t>
      </w:r>
    </w:p>
    <w:p w:rsidR="00521F91" w:rsidRPr="00805B5C" w:rsidRDefault="00521F91" w:rsidP="00521F91">
      <w:pPr>
        <w:pStyle w:val="Opsomming2"/>
        <w:numPr>
          <w:ilvl w:val="0"/>
          <w:numId w:val="0"/>
        </w:numPr>
        <w:ind w:left="284"/>
      </w:pPr>
    </w:p>
    <w:p w:rsidR="00521F91" w:rsidRPr="00805B5C" w:rsidRDefault="00521F91" w:rsidP="00521F91">
      <w:pPr>
        <w:pStyle w:val="Opsomming2"/>
      </w:pPr>
      <w:r w:rsidRPr="00805B5C">
        <w:rPr>
          <w:b/>
        </w:rPr>
        <w:t>(Managing) investments in shares</w:t>
      </w:r>
      <w:r w:rsidRPr="00805B5C">
        <w:t>: Financial institutions can, through the funds they are managing, buy shares of a certain company. This provides the company with new equity, and gives the financial institution a direct influence on the company’s strategy. The magnitude of this influence depends on the size of the shareholding.</w:t>
      </w:r>
    </w:p>
    <w:p w:rsidR="00521F91" w:rsidRPr="00805B5C" w:rsidRDefault="00521F91" w:rsidP="00521F91">
      <w:pPr>
        <w:pStyle w:val="Opsomming2"/>
        <w:numPr>
          <w:ilvl w:val="0"/>
          <w:numId w:val="0"/>
        </w:numPr>
        <w:ind w:left="284"/>
      </w:pPr>
    </w:p>
    <w:p w:rsidR="00521F91" w:rsidRPr="00805B5C" w:rsidRDefault="00521F91" w:rsidP="00521F91">
      <w:pPr>
        <w:pStyle w:val="Opsomming2"/>
      </w:pPr>
      <w:r w:rsidRPr="00805B5C">
        <w:rPr>
          <w:b/>
        </w:rPr>
        <w:t>(Managing) investments in bonds</w:t>
      </w:r>
      <w:r w:rsidRPr="00805B5C">
        <w:t>: Like shares, financial institutions and private investors can buy bonds of a certain company. The main difference between owning shares and bonds is that owner of a bond is not a co-owner of the issuing company; the owner is a creditor of the company. The buyer of each bond is entitled to repayment after a certain number of years, and to a certain interest during each of these years.</w:t>
      </w:r>
    </w:p>
    <w:p w:rsidR="00521F91" w:rsidRDefault="00521F91" w:rsidP="00521F91"/>
    <w:p w:rsidR="00C06587" w:rsidRDefault="00C06587" w:rsidP="00C06587">
      <w:pPr>
        <w:pStyle w:val="Heading2"/>
      </w:pPr>
      <w:bookmarkStart w:id="10" w:name="_Toc365554329"/>
      <w:r>
        <w:lastRenderedPageBreak/>
        <w:t>Research period</w:t>
      </w:r>
      <w:r w:rsidR="00AC407D">
        <w:t xml:space="preserve"> and threshold</w:t>
      </w:r>
      <w:bookmarkEnd w:id="10"/>
    </w:p>
    <w:p w:rsidR="00C06587" w:rsidRPr="00546F0A" w:rsidRDefault="00C06587" w:rsidP="00C06587">
      <w:pPr>
        <w:rPr>
          <w:lang w:val="en-US"/>
        </w:rPr>
      </w:pPr>
      <w:r w:rsidRPr="00546F0A">
        <w:rPr>
          <w:lang w:val="en-US"/>
        </w:rPr>
        <w:t>This report analyses the following forms of financing:</w:t>
      </w:r>
    </w:p>
    <w:p w:rsidR="00C06587" w:rsidRPr="00546F0A" w:rsidRDefault="00C06587" w:rsidP="00C06587">
      <w:pPr>
        <w:rPr>
          <w:lang w:val="en-US"/>
        </w:rPr>
      </w:pPr>
    </w:p>
    <w:p w:rsidR="00C06587" w:rsidRPr="00546F0A" w:rsidRDefault="00C06587" w:rsidP="00C06587">
      <w:pPr>
        <w:pStyle w:val="Opsomming3"/>
        <w:rPr>
          <w:lang w:val="en-US"/>
        </w:rPr>
      </w:pPr>
      <w:r w:rsidRPr="00546F0A">
        <w:rPr>
          <w:lang w:val="en-US"/>
        </w:rPr>
        <w:t>Loans, credits and project financing (since 1 July 2010);</w:t>
      </w:r>
    </w:p>
    <w:p w:rsidR="00C06587" w:rsidRPr="00546F0A" w:rsidRDefault="00C06587" w:rsidP="00C06587">
      <w:pPr>
        <w:pStyle w:val="Opsomming3"/>
        <w:rPr>
          <w:lang w:val="en-US"/>
        </w:rPr>
      </w:pPr>
      <w:r w:rsidRPr="00546F0A">
        <w:rPr>
          <w:lang w:val="en-US"/>
        </w:rPr>
        <w:t>Underwriting share and bond issuances (since 1 July 2010);</w:t>
      </w:r>
    </w:p>
    <w:p w:rsidR="00C06587" w:rsidRDefault="00C06587" w:rsidP="00C06587">
      <w:pPr>
        <w:pStyle w:val="Opsomming3"/>
        <w:rPr>
          <w:lang w:val="en-US"/>
        </w:rPr>
      </w:pPr>
      <w:r w:rsidRPr="00546F0A">
        <w:rPr>
          <w:lang w:val="en-US"/>
        </w:rPr>
        <w:t>Investments in shares and bonds (holdings at most recent reporting date).</w:t>
      </w:r>
    </w:p>
    <w:p w:rsidR="00AC407D" w:rsidRDefault="00AC407D" w:rsidP="00AC407D">
      <w:pPr>
        <w:pStyle w:val="Opsomming3"/>
        <w:numPr>
          <w:ilvl w:val="0"/>
          <w:numId w:val="0"/>
        </w:numPr>
        <w:ind w:left="567" w:hanging="283"/>
        <w:rPr>
          <w:lang w:val="en-US"/>
        </w:rPr>
      </w:pPr>
    </w:p>
    <w:p w:rsidR="00AC407D" w:rsidRPr="00AC407D" w:rsidRDefault="00AC407D" w:rsidP="00AC407D">
      <w:r>
        <w:t>Investments of (subsidiaries of) the Dutch financial institutions which are below the threshold of € 1 million are not reported.</w:t>
      </w:r>
    </w:p>
    <w:p w:rsidR="00C06587" w:rsidRPr="00805B5C" w:rsidRDefault="00C06587" w:rsidP="00C06587">
      <w:pPr>
        <w:pStyle w:val="Heading2"/>
      </w:pPr>
      <w:bookmarkStart w:id="11" w:name="_Toc365554330"/>
      <w:r>
        <w:t>Information sources and estimates used</w:t>
      </w:r>
      <w:bookmarkEnd w:id="11"/>
    </w:p>
    <w:p w:rsidR="00C06587" w:rsidRPr="009D22DE" w:rsidRDefault="00C06587" w:rsidP="00C06587">
      <w:r>
        <w:t xml:space="preserve">The financial links between </w:t>
      </w:r>
      <w:r w:rsidRPr="009D22DE">
        <w:t xml:space="preserve">financial institutions </w:t>
      </w:r>
      <w:r>
        <w:t>and</w:t>
      </w:r>
      <w:r w:rsidRPr="009D22DE">
        <w:t xml:space="preserve"> the</w:t>
      </w:r>
      <w:r>
        <w:t xml:space="preserve"> selected</w:t>
      </w:r>
      <w:r w:rsidRPr="009D22DE">
        <w:t xml:space="preserve"> companies </w:t>
      </w:r>
      <w:r>
        <w:t>are found by</w:t>
      </w:r>
      <w:r w:rsidRPr="009D22DE">
        <w:t xml:space="preserve"> research</w:t>
      </w:r>
      <w:r>
        <w:t>ing</w:t>
      </w:r>
      <w:r w:rsidRPr="009D22DE">
        <w:t xml:space="preserve"> annual reports, stock exchange filings and </w:t>
      </w:r>
      <w:r>
        <w:t xml:space="preserve">relevant </w:t>
      </w:r>
      <w:r w:rsidRPr="009D22DE">
        <w:t>publications of the companies, archives of tr</w:t>
      </w:r>
      <w:r>
        <w:t xml:space="preserve">ade magazines, local newspapers, </w:t>
      </w:r>
      <w:r w:rsidRPr="009D22DE">
        <w:t xml:space="preserve">financial press as well as specialized financial databases (Thomson ONE Banker, Bloomberg). </w:t>
      </w:r>
      <w:r>
        <w:t>All sources are clearly referenced at the end of the report</w:t>
      </w:r>
      <w:r w:rsidRPr="009D22DE">
        <w:t>.</w:t>
      </w:r>
    </w:p>
    <w:p w:rsidR="00C06587" w:rsidRDefault="00C06587" w:rsidP="00521F91"/>
    <w:p w:rsidR="00521F91" w:rsidRPr="00805B5C" w:rsidRDefault="008411FC" w:rsidP="00521F91">
      <w:r>
        <w:t>If f</w:t>
      </w:r>
      <w:r w:rsidR="00521F91" w:rsidRPr="00805B5C">
        <w:t>or loans and un</w:t>
      </w:r>
      <w:r>
        <w:t xml:space="preserve">derwritings of shares or bonds </w:t>
      </w:r>
      <w:r w:rsidR="00521F91" w:rsidRPr="00805B5C">
        <w:t>the amount</w:t>
      </w:r>
      <w:r>
        <w:t>s</w:t>
      </w:r>
      <w:r w:rsidR="00521F91" w:rsidRPr="00805B5C">
        <w:t xml:space="preserve"> committed or underwrit</w:t>
      </w:r>
      <w:r>
        <w:t>ten per financial institution are unknown, these are</w:t>
      </w:r>
      <w:r w:rsidR="00521F91" w:rsidRPr="00805B5C">
        <w:t xml:space="preserve"> estimated by using the following rule</w:t>
      </w:r>
      <w:r>
        <w:t>s</w:t>
      </w:r>
      <w:r w:rsidR="00521F91" w:rsidRPr="00805B5C">
        <w:t xml:space="preserve"> of thumb:</w:t>
      </w:r>
    </w:p>
    <w:p w:rsidR="00521F91" w:rsidRPr="00805B5C" w:rsidRDefault="00521F91" w:rsidP="00521F91"/>
    <w:p w:rsidR="00521F91" w:rsidRPr="00805B5C" w:rsidRDefault="00521F91" w:rsidP="00521F91">
      <w:pPr>
        <w:pStyle w:val="Opsomming2"/>
      </w:pPr>
      <w:r w:rsidRPr="00805B5C">
        <w:t xml:space="preserve">In the case of loans (corporate loans or revolving credit facilities), 40% of the total amount is committed by bookrunners and 60% by other participants of the syndicate. If, however, the amount of bookrunners is (almost) equal to, or higher than, the amount of participants, the reverse is used: 60% for the bookrunners and 40% for the arrangers. </w:t>
      </w:r>
    </w:p>
    <w:p w:rsidR="00521F91" w:rsidRPr="00805B5C" w:rsidRDefault="00521F91" w:rsidP="00521F91">
      <w:pPr>
        <w:pStyle w:val="Opsomming2"/>
      </w:pPr>
      <w:r w:rsidRPr="00805B5C">
        <w:t>In the case of share- and bond issuances, 75% of the total amount is committed by bookrunners and 25% by other participants of the syndicate. The amount provided by bookrunners should always be higher than the amount provided by participants.</w:t>
      </w:r>
    </w:p>
    <w:p w:rsidR="00521F91" w:rsidRPr="00805B5C" w:rsidRDefault="00521F91" w:rsidP="00521F91">
      <w:pPr>
        <w:pStyle w:val="Opsomming2"/>
      </w:pPr>
      <w:r w:rsidRPr="00805B5C">
        <w:t>In the case of share and bondholdings, the amounts are always known, so no estimate was needed.</w:t>
      </w:r>
    </w:p>
    <w:p w:rsidR="00521F91" w:rsidRPr="00805B5C" w:rsidRDefault="00521F91" w:rsidP="00521F91"/>
    <w:p w:rsidR="00521F91" w:rsidRPr="00805B5C" w:rsidRDefault="00521F91" w:rsidP="00521F91">
      <w:r w:rsidRPr="00805B5C">
        <w:t>For share and bondholdings the most recent figures are listed. In the case of shareholdings, some companies have two types of shares: ordinary shares and Depository Receipts (DRs)</w:t>
      </w:r>
      <w:r>
        <w:t>. DRs are</w:t>
      </w:r>
      <w:r w:rsidRPr="00805B5C">
        <w:t xml:space="preserve"> shares which are traded on a local stock exchange but represent a foreign company’s publicly traded shares. One of the most common types of DRs is the American Depositary Receipt (ADR), which represents a specific number of shares of a foreign stock traded on a U.S. stock exchange. If companies have two types of shares, we added the value of both types of shares.</w:t>
      </w:r>
    </w:p>
    <w:p w:rsidR="0049652C" w:rsidRPr="00546F0A" w:rsidRDefault="0049652C" w:rsidP="000D5FD2">
      <w:pPr>
        <w:rPr>
          <w:lang w:val="en-US"/>
        </w:rPr>
      </w:pPr>
    </w:p>
    <w:p w:rsidR="003561F5" w:rsidRPr="00546F0A" w:rsidRDefault="003561F5" w:rsidP="003561F5">
      <w:pPr>
        <w:rPr>
          <w:lang w:val="en-US"/>
        </w:rPr>
      </w:pPr>
    </w:p>
    <w:p w:rsidR="00D3307F" w:rsidRPr="00546F0A" w:rsidRDefault="00D3307F" w:rsidP="003561F5">
      <w:pPr>
        <w:rPr>
          <w:lang w:val="en-US"/>
        </w:rPr>
      </w:pPr>
    </w:p>
    <w:p w:rsidR="00E61253" w:rsidRPr="00546F0A" w:rsidRDefault="00E61253" w:rsidP="00BD3F44">
      <w:pPr>
        <w:pStyle w:val="Heading1"/>
        <w:rPr>
          <w:lang w:val="en-US"/>
        </w:rPr>
      </w:pPr>
      <w:r w:rsidRPr="00546F0A">
        <w:rPr>
          <w:lang w:val="en-US"/>
        </w:rPr>
        <w:br w:type="page"/>
      </w:r>
      <w:bookmarkStart w:id="12" w:name="_Ref365281740"/>
      <w:bookmarkStart w:id="13" w:name="_Toc365554331"/>
      <w:r w:rsidR="00144FE5">
        <w:rPr>
          <w:lang w:val="en-US"/>
        </w:rPr>
        <w:lastRenderedPageBreak/>
        <w:t>ABN Amro</w:t>
      </w:r>
      <w:bookmarkEnd w:id="12"/>
      <w:bookmarkEnd w:id="13"/>
    </w:p>
    <w:p w:rsidR="0065760E" w:rsidRPr="00546F0A" w:rsidRDefault="00ED1F1A" w:rsidP="00BD3F44">
      <w:pPr>
        <w:pStyle w:val="Heading2"/>
        <w:rPr>
          <w:lang w:val="en-US"/>
        </w:rPr>
      </w:pPr>
      <w:bookmarkStart w:id="14" w:name="_Toc365554332"/>
      <w:r>
        <w:rPr>
          <w:lang w:val="en-US"/>
        </w:rPr>
        <w:t>Shareholdings</w:t>
      </w:r>
      <w:bookmarkEnd w:id="14"/>
    </w:p>
    <w:p w:rsidR="00B97883" w:rsidRDefault="00E55126" w:rsidP="00982905">
      <w:pPr>
        <w:rPr>
          <w:lang w:val="en-US"/>
        </w:rPr>
      </w:pPr>
      <w:r>
        <w:rPr>
          <w:lang w:val="en-US"/>
        </w:rPr>
        <w:fldChar w:fldCharType="begin"/>
      </w:r>
      <w:r w:rsidR="009B6037">
        <w:rPr>
          <w:lang w:val="en-US"/>
        </w:rPr>
        <w:instrText xml:space="preserve"> REF _Ref362854980 \r \h </w:instrText>
      </w:r>
      <w:r>
        <w:rPr>
          <w:lang w:val="en-US"/>
        </w:rPr>
      </w:r>
      <w:r>
        <w:rPr>
          <w:lang w:val="en-US"/>
        </w:rPr>
        <w:fldChar w:fldCharType="separate"/>
      </w:r>
      <w:r w:rsidR="00D74F7E">
        <w:rPr>
          <w:lang w:val="en-US"/>
        </w:rPr>
        <w:t>Table 2</w:t>
      </w:r>
      <w:r>
        <w:rPr>
          <w:lang w:val="en-US"/>
        </w:rPr>
        <w:fldChar w:fldCharType="end"/>
      </w:r>
      <w:r w:rsidR="009B6037">
        <w:rPr>
          <w:lang w:val="en-US"/>
        </w:rPr>
        <w:t xml:space="preserve"> </w:t>
      </w:r>
      <w:r w:rsidR="009B6037" w:rsidRPr="009B6037">
        <w:rPr>
          <w:lang w:val="en-US"/>
        </w:rPr>
        <w:t xml:space="preserve">gives an overview of all the shares of </w:t>
      </w:r>
      <w:r w:rsidR="009B6037">
        <w:rPr>
          <w:lang w:val="en-US"/>
        </w:rPr>
        <w:t>food companies</w:t>
      </w:r>
      <w:r w:rsidR="009B6037" w:rsidRPr="009B6037">
        <w:rPr>
          <w:lang w:val="en-US"/>
        </w:rPr>
        <w:t xml:space="preserve"> owned by investment funds managed by </w:t>
      </w:r>
      <w:r w:rsidR="009B6037">
        <w:rPr>
          <w:lang w:val="en-US"/>
        </w:rPr>
        <w:t>ABN Amro</w:t>
      </w:r>
      <w:r w:rsidR="009B6037" w:rsidRPr="009B6037">
        <w:rPr>
          <w:lang w:val="en-US"/>
        </w:rPr>
        <w:t xml:space="preserve"> and its subsidiaries as per the most recent filing date available</w:t>
      </w:r>
      <w:r w:rsidR="009B6037">
        <w:rPr>
          <w:lang w:val="en-US"/>
        </w:rPr>
        <w:t>.</w:t>
      </w:r>
    </w:p>
    <w:p w:rsidR="009B6037" w:rsidRPr="00546F0A" w:rsidRDefault="009B6037" w:rsidP="00982905">
      <w:pPr>
        <w:rPr>
          <w:lang w:val="en-US"/>
        </w:rPr>
      </w:pPr>
    </w:p>
    <w:p w:rsidR="00ED1F1A" w:rsidRPr="00ED1F1A" w:rsidRDefault="00ED1F1A" w:rsidP="00ED1F1A">
      <w:pPr>
        <w:pStyle w:val="Tabelkop"/>
        <w:rPr>
          <w:lang w:val="en-US"/>
        </w:rPr>
      </w:pPr>
      <w:bookmarkStart w:id="15" w:name="_Ref362854980"/>
      <w:r w:rsidRPr="00ED1F1A">
        <w:rPr>
          <w:lang w:val="en-US"/>
        </w:rPr>
        <w:t xml:space="preserve">Shares </w:t>
      </w:r>
      <w:r w:rsidR="00144FE5">
        <w:rPr>
          <w:lang w:val="en-US"/>
        </w:rPr>
        <w:t>managed</w:t>
      </w:r>
      <w:r w:rsidRPr="00ED1F1A">
        <w:rPr>
          <w:lang w:val="en-US"/>
        </w:rPr>
        <w:t xml:space="preserve"> by </w:t>
      </w:r>
      <w:r w:rsidR="00144FE5">
        <w:rPr>
          <w:lang w:val="en-US"/>
        </w:rPr>
        <w:t>ABN Amro</w:t>
      </w:r>
      <w:bookmarkEnd w:id="15"/>
    </w:p>
    <w:tbl>
      <w:tblPr>
        <w:tblStyle w:val="Profundo"/>
        <w:tblW w:w="8988" w:type="dxa"/>
        <w:tblLayout w:type="fixed"/>
        <w:tblLook w:val="04A0"/>
      </w:tblPr>
      <w:tblGrid>
        <w:gridCol w:w="2408"/>
        <w:gridCol w:w="2046"/>
        <w:gridCol w:w="1134"/>
        <w:gridCol w:w="852"/>
        <w:gridCol w:w="1274"/>
        <w:gridCol w:w="1274"/>
      </w:tblGrid>
      <w:tr w:rsidR="0033599C" w:rsidRPr="0033599C" w:rsidTr="003259AC">
        <w:trPr>
          <w:cnfStyle w:val="100000000000"/>
        </w:trPr>
        <w:tc>
          <w:tcPr>
            <w:cnfStyle w:val="001000000000"/>
            <w:tcW w:w="2408" w:type="dxa"/>
          </w:tcPr>
          <w:p w:rsidR="00A60540" w:rsidRPr="0033599C" w:rsidRDefault="00B32471" w:rsidP="009A46A4">
            <w:pPr>
              <w:pStyle w:val="Tabeltekst"/>
              <w:keepNext/>
              <w:rPr>
                <w:b w:val="0"/>
                <w:color w:val="595959" w:themeColor="text1" w:themeTint="A6"/>
              </w:rPr>
            </w:pPr>
            <w:r w:rsidRPr="0033599C">
              <w:rPr>
                <w:color w:val="595959" w:themeColor="text1" w:themeTint="A6"/>
              </w:rPr>
              <w:t>Behind the Brands companies</w:t>
            </w:r>
          </w:p>
        </w:tc>
        <w:tc>
          <w:tcPr>
            <w:tcW w:w="2046" w:type="dxa"/>
          </w:tcPr>
          <w:p w:rsidR="00A60540" w:rsidRPr="0033599C" w:rsidRDefault="00A60540" w:rsidP="003259AC">
            <w:pPr>
              <w:keepNext/>
              <w:jc w:val="left"/>
              <w:cnfStyle w:val="100000000000"/>
              <w:rPr>
                <w:b w:val="0"/>
                <w:color w:val="595959" w:themeColor="text1" w:themeTint="A6"/>
                <w:sz w:val="20"/>
                <w:szCs w:val="20"/>
              </w:rPr>
            </w:pPr>
            <w:r w:rsidRPr="0033599C">
              <w:rPr>
                <w:color w:val="595959" w:themeColor="text1" w:themeTint="A6"/>
                <w:sz w:val="20"/>
                <w:szCs w:val="20"/>
              </w:rPr>
              <w:t>Investor</w:t>
            </w:r>
          </w:p>
        </w:tc>
        <w:tc>
          <w:tcPr>
            <w:tcW w:w="1134" w:type="dxa"/>
          </w:tcPr>
          <w:p w:rsidR="00A60540" w:rsidRPr="0033599C" w:rsidRDefault="00A60540" w:rsidP="0033599C">
            <w:pPr>
              <w:pStyle w:val="Tabeltekst"/>
              <w:keepNext/>
              <w:cnfStyle w:val="100000000000"/>
              <w:rPr>
                <w:b w:val="0"/>
                <w:color w:val="595959" w:themeColor="text1" w:themeTint="A6"/>
              </w:rPr>
            </w:pPr>
            <w:r w:rsidRPr="0033599C">
              <w:rPr>
                <w:color w:val="595959" w:themeColor="text1" w:themeTint="A6"/>
              </w:rPr>
              <w:t>Amount of shares</w:t>
            </w:r>
          </w:p>
        </w:tc>
        <w:tc>
          <w:tcPr>
            <w:tcW w:w="852" w:type="dxa"/>
          </w:tcPr>
          <w:p w:rsidR="00A60540" w:rsidRPr="0033599C" w:rsidRDefault="00A60540" w:rsidP="0033599C">
            <w:pPr>
              <w:pStyle w:val="Tabeltekst"/>
              <w:keepNext/>
              <w:cnfStyle w:val="100000000000"/>
              <w:rPr>
                <w:b w:val="0"/>
                <w:color w:val="595959" w:themeColor="text1" w:themeTint="A6"/>
              </w:rPr>
            </w:pPr>
            <w:r w:rsidRPr="0033599C">
              <w:rPr>
                <w:color w:val="595959" w:themeColor="text1" w:themeTint="A6"/>
              </w:rPr>
              <w:t>% of all shares</w:t>
            </w:r>
          </w:p>
        </w:tc>
        <w:tc>
          <w:tcPr>
            <w:tcW w:w="1274" w:type="dxa"/>
          </w:tcPr>
          <w:p w:rsidR="00A60540" w:rsidRPr="0033599C" w:rsidRDefault="00A60540" w:rsidP="0033599C">
            <w:pPr>
              <w:pStyle w:val="Tabeltekst"/>
              <w:keepNext/>
              <w:cnfStyle w:val="100000000000"/>
              <w:rPr>
                <w:b w:val="0"/>
                <w:color w:val="595959" w:themeColor="text1" w:themeTint="A6"/>
              </w:rPr>
            </w:pPr>
            <w:r w:rsidRPr="0033599C">
              <w:rPr>
                <w:color w:val="595959" w:themeColor="text1" w:themeTint="A6"/>
              </w:rPr>
              <w:t xml:space="preserve">Value </w:t>
            </w:r>
          </w:p>
          <w:p w:rsidR="00A60540" w:rsidRPr="0033599C" w:rsidRDefault="00A60540" w:rsidP="0033599C">
            <w:pPr>
              <w:pStyle w:val="Tabeltekst"/>
              <w:keepNext/>
              <w:cnfStyle w:val="100000000000"/>
              <w:rPr>
                <w:b w:val="0"/>
                <w:color w:val="595959" w:themeColor="text1" w:themeTint="A6"/>
              </w:rPr>
            </w:pPr>
            <w:r w:rsidRPr="0033599C">
              <w:rPr>
                <w:color w:val="595959" w:themeColor="text1" w:themeTint="A6"/>
              </w:rPr>
              <w:t>(€ million)</w:t>
            </w:r>
          </w:p>
        </w:tc>
        <w:tc>
          <w:tcPr>
            <w:tcW w:w="1274" w:type="dxa"/>
          </w:tcPr>
          <w:p w:rsidR="00A60540" w:rsidRPr="0033599C" w:rsidRDefault="00A60540" w:rsidP="0033599C">
            <w:pPr>
              <w:pStyle w:val="Tabeltekst"/>
              <w:keepNext/>
              <w:cnfStyle w:val="100000000000"/>
              <w:rPr>
                <w:b w:val="0"/>
                <w:color w:val="595959" w:themeColor="text1" w:themeTint="A6"/>
              </w:rPr>
            </w:pPr>
            <w:r w:rsidRPr="0033599C">
              <w:rPr>
                <w:color w:val="595959" w:themeColor="text1" w:themeTint="A6"/>
              </w:rPr>
              <w:t>Filing date</w:t>
            </w:r>
          </w:p>
        </w:tc>
      </w:tr>
      <w:tr w:rsidR="0033599C" w:rsidRPr="0033599C" w:rsidTr="003259AC">
        <w:tc>
          <w:tcPr>
            <w:cnfStyle w:val="001000000000"/>
            <w:tcW w:w="2408" w:type="dxa"/>
          </w:tcPr>
          <w:p w:rsidR="00A60540" w:rsidRPr="0033599C" w:rsidRDefault="00A60540" w:rsidP="009A46A4">
            <w:pPr>
              <w:pStyle w:val="Tabeltekst"/>
              <w:keepNext/>
              <w:rPr>
                <w:color w:val="595959" w:themeColor="text1" w:themeTint="A6"/>
              </w:rPr>
            </w:pPr>
            <w:r w:rsidRPr="0033599C">
              <w:rPr>
                <w:color w:val="595959" w:themeColor="text1" w:themeTint="A6"/>
              </w:rPr>
              <w:t>Associated British Foods</w:t>
            </w:r>
          </w:p>
        </w:tc>
        <w:tc>
          <w:tcPr>
            <w:tcW w:w="2046" w:type="dxa"/>
          </w:tcPr>
          <w:p w:rsidR="00A60540" w:rsidRPr="0033599C" w:rsidRDefault="00A60540" w:rsidP="003259AC">
            <w:pPr>
              <w:pStyle w:val="Tabeltekst"/>
              <w:keepNext/>
              <w:jc w:val="left"/>
              <w:cnfStyle w:val="000000000000"/>
              <w:rPr>
                <w:color w:val="595959" w:themeColor="text1" w:themeTint="A6"/>
              </w:rPr>
            </w:pPr>
            <w:r w:rsidRPr="0033599C">
              <w:rPr>
                <w:color w:val="595959" w:themeColor="text1" w:themeTint="A6"/>
              </w:rPr>
              <w:t>Neuflize OBC Investissements</w:t>
            </w:r>
          </w:p>
        </w:tc>
        <w:tc>
          <w:tcPr>
            <w:tcW w:w="1134" w:type="dxa"/>
          </w:tcPr>
          <w:p w:rsidR="00A60540" w:rsidRPr="0033599C" w:rsidRDefault="00A60540" w:rsidP="0033599C">
            <w:pPr>
              <w:keepNext/>
              <w:cnfStyle w:val="000000000000"/>
              <w:rPr>
                <w:color w:val="595959" w:themeColor="text1" w:themeTint="A6"/>
                <w:sz w:val="20"/>
                <w:szCs w:val="20"/>
              </w:rPr>
            </w:pPr>
            <w:r w:rsidRPr="0033599C">
              <w:rPr>
                <w:color w:val="595959" w:themeColor="text1" w:themeTint="A6"/>
                <w:sz w:val="20"/>
                <w:szCs w:val="20"/>
              </w:rPr>
              <w:t>45,275</w:t>
            </w:r>
          </w:p>
        </w:tc>
        <w:tc>
          <w:tcPr>
            <w:tcW w:w="852" w:type="dxa"/>
          </w:tcPr>
          <w:p w:rsidR="00A60540" w:rsidRPr="0033599C" w:rsidRDefault="00A60540" w:rsidP="0033599C">
            <w:pPr>
              <w:keepNext/>
              <w:cnfStyle w:val="000000000000"/>
              <w:rPr>
                <w:color w:val="595959" w:themeColor="text1" w:themeTint="A6"/>
                <w:sz w:val="20"/>
                <w:szCs w:val="20"/>
              </w:rPr>
            </w:pPr>
            <w:r w:rsidRPr="0033599C">
              <w:rPr>
                <w:color w:val="595959" w:themeColor="text1" w:themeTint="A6"/>
                <w:sz w:val="20"/>
                <w:szCs w:val="20"/>
              </w:rPr>
              <w:t>0.01</w:t>
            </w:r>
          </w:p>
        </w:tc>
        <w:tc>
          <w:tcPr>
            <w:tcW w:w="1274" w:type="dxa"/>
          </w:tcPr>
          <w:p w:rsidR="00A60540" w:rsidRPr="0033599C" w:rsidRDefault="00A60540" w:rsidP="0033599C">
            <w:pPr>
              <w:keepNext/>
              <w:cnfStyle w:val="000000000000"/>
              <w:rPr>
                <w:color w:val="595959" w:themeColor="text1" w:themeTint="A6"/>
                <w:sz w:val="20"/>
                <w:szCs w:val="20"/>
              </w:rPr>
            </w:pPr>
            <w:r w:rsidRPr="0033599C">
              <w:rPr>
                <w:color w:val="595959" w:themeColor="text1" w:themeTint="A6"/>
                <w:sz w:val="20"/>
                <w:szCs w:val="20"/>
              </w:rPr>
              <w:t>1.</w:t>
            </w:r>
            <w:r w:rsidR="007060CD" w:rsidRPr="0033599C">
              <w:rPr>
                <w:color w:val="595959" w:themeColor="text1" w:themeTint="A6"/>
                <w:sz w:val="20"/>
                <w:szCs w:val="20"/>
              </w:rPr>
              <w:t>04</w:t>
            </w:r>
          </w:p>
        </w:tc>
        <w:tc>
          <w:tcPr>
            <w:tcW w:w="1274" w:type="dxa"/>
          </w:tcPr>
          <w:p w:rsidR="00A60540" w:rsidRPr="0033599C" w:rsidRDefault="00A60540" w:rsidP="0033599C">
            <w:pPr>
              <w:keepNext/>
              <w:cnfStyle w:val="000000000000"/>
              <w:rPr>
                <w:color w:val="595959" w:themeColor="text1" w:themeTint="A6"/>
                <w:sz w:val="20"/>
                <w:szCs w:val="20"/>
              </w:rPr>
            </w:pPr>
            <w:r w:rsidRPr="0033599C">
              <w:rPr>
                <w:color w:val="595959" w:themeColor="text1" w:themeTint="A6"/>
                <w:sz w:val="20"/>
                <w:szCs w:val="20"/>
              </w:rPr>
              <w:t>30-04-2013</w:t>
            </w:r>
          </w:p>
        </w:tc>
      </w:tr>
      <w:tr w:rsidR="0033599C" w:rsidRPr="0033599C" w:rsidTr="003259AC">
        <w:tc>
          <w:tcPr>
            <w:cnfStyle w:val="001000000000"/>
            <w:tcW w:w="2408" w:type="dxa"/>
          </w:tcPr>
          <w:p w:rsidR="00A60540" w:rsidRPr="0033599C" w:rsidRDefault="00A60540" w:rsidP="000226F3">
            <w:pPr>
              <w:pStyle w:val="Tabeltekst"/>
              <w:keepNext/>
              <w:rPr>
                <w:color w:val="595959" w:themeColor="text1" w:themeTint="A6"/>
              </w:rPr>
            </w:pPr>
            <w:r w:rsidRPr="0033599C">
              <w:rPr>
                <w:color w:val="595959" w:themeColor="text1" w:themeTint="A6"/>
              </w:rPr>
              <w:t>Coca-Cola</w:t>
            </w:r>
          </w:p>
        </w:tc>
        <w:tc>
          <w:tcPr>
            <w:tcW w:w="2046" w:type="dxa"/>
          </w:tcPr>
          <w:p w:rsidR="00A60540" w:rsidRPr="0033599C" w:rsidRDefault="00A60540" w:rsidP="003259AC">
            <w:pPr>
              <w:pStyle w:val="Tabeltekst"/>
              <w:keepNext/>
              <w:jc w:val="left"/>
              <w:cnfStyle w:val="000000000000"/>
              <w:rPr>
                <w:color w:val="595959" w:themeColor="text1" w:themeTint="A6"/>
              </w:rPr>
            </w:pPr>
            <w:r w:rsidRPr="0033599C">
              <w:rPr>
                <w:color w:val="595959" w:themeColor="text1" w:themeTint="A6"/>
              </w:rPr>
              <w:t>Bethmann Bank</w:t>
            </w:r>
          </w:p>
        </w:tc>
        <w:tc>
          <w:tcPr>
            <w:tcW w:w="1134" w:type="dxa"/>
          </w:tcPr>
          <w:p w:rsidR="00A60540" w:rsidRPr="0033599C" w:rsidRDefault="00A60540" w:rsidP="0033599C">
            <w:pPr>
              <w:keepNext/>
              <w:cnfStyle w:val="000000000000"/>
              <w:rPr>
                <w:color w:val="595959" w:themeColor="text1" w:themeTint="A6"/>
                <w:sz w:val="20"/>
                <w:szCs w:val="20"/>
              </w:rPr>
            </w:pPr>
            <w:r w:rsidRPr="0033599C">
              <w:rPr>
                <w:color w:val="595959" w:themeColor="text1" w:themeTint="A6"/>
                <w:sz w:val="20"/>
                <w:szCs w:val="20"/>
              </w:rPr>
              <w:t>134,010</w:t>
            </w:r>
          </w:p>
        </w:tc>
        <w:tc>
          <w:tcPr>
            <w:tcW w:w="852" w:type="dxa"/>
          </w:tcPr>
          <w:p w:rsidR="00A60540" w:rsidRPr="0033599C" w:rsidRDefault="00A60540" w:rsidP="0033599C">
            <w:pPr>
              <w:keepNext/>
              <w:cnfStyle w:val="000000000000"/>
              <w:rPr>
                <w:color w:val="595959" w:themeColor="text1" w:themeTint="A6"/>
                <w:sz w:val="20"/>
                <w:szCs w:val="20"/>
              </w:rPr>
            </w:pPr>
            <w:r w:rsidRPr="0033599C">
              <w:rPr>
                <w:color w:val="595959" w:themeColor="text1" w:themeTint="A6"/>
                <w:sz w:val="20"/>
                <w:szCs w:val="20"/>
              </w:rPr>
              <w:t>0.00</w:t>
            </w:r>
          </w:p>
        </w:tc>
        <w:tc>
          <w:tcPr>
            <w:tcW w:w="1274" w:type="dxa"/>
          </w:tcPr>
          <w:p w:rsidR="00A60540" w:rsidRPr="0033599C" w:rsidRDefault="007060CD" w:rsidP="0033599C">
            <w:pPr>
              <w:keepNext/>
              <w:cnfStyle w:val="000000000000"/>
              <w:rPr>
                <w:color w:val="595959" w:themeColor="text1" w:themeTint="A6"/>
                <w:sz w:val="20"/>
                <w:szCs w:val="20"/>
              </w:rPr>
            </w:pPr>
            <w:r w:rsidRPr="0033599C">
              <w:rPr>
                <w:color w:val="595959" w:themeColor="text1" w:themeTint="A6"/>
                <w:sz w:val="20"/>
                <w:szCs w:val="20"/>
              </w:rPr>
              <w:t>4</w:t>
            </w:r>
            <w:r w:rsidR="00A60540" w:rsidRPr="0033599C">
              <w:rPr>
                <w:color w:val="595959" w:themeColor="text1" w:themeTint="A6"/>
                <w:sz w:val="20"/>
                <w:szCs w:val="20"/>
              </w:rPr>
              <w:t>.</w:t>
            </w:r>
            <w:r w:rsidRPr="0033599C">
              <w:rPr>
                <w:color w:val="595959" w:themeColor="text1" w:themeTint="A6"/>
                <w:sz w:val="20"/>
                <w:szCs w:val="20"/>
              </w:rPr>
              <w:t>13</w:t>
            </w:r>
          </w:p>
        </w:tc>
        <w:tc>
          <w:tcPr>
            <w:tcW w:w="1274" w:type="dxa"/>
          </w:tcPr>
          <w:p w:rsidR="00A60540" w:rsidRPr="0033599C" w:rsidRDefault="00A60540" w:rsidP="0033599C">
            <w:pPr>
              <w:keepNext/>
              <w:cnfStyle w:val="000000000000"/>
              <w:rPr>
                <w:color w:val="595959" w:themeColor="text1" w:themeTint="A6"/>
                <w:sz w:val="20"/>
                <w:szCs w:val="20"/>
              </w:rPr>
            </w:pPr>
            <w:r w:rsidRPr="0033599C">
              <w:rPr>
                <w:color w:val="595959" w:themeColor="text1" w:themeTint="A6"/>
                <w:sz w:val="20"/>
                <w:szCs w:val="20"/>
              </w:rPr>
              <w:t>31-05-2013</w:t>
            </w:r>
          </w:p>
        </w:tc>
      </w:tr>
      <w:tr w:rsidR="0033599C" w:rsidRPr="0033599C" w:rsidTr="003259AC">
        <w:tc>
          <w:tcPr>
            <w:cnfStyle w:val="001000000000"/>
            <w:tcW w:w="2408" w:type="dxa"/>
          </w:tcPr>
          <w:p w:rsidR="00802829" w:rsidRPr="0033599C" w:rsidRDefault="00802829" w:rsidP="000226F3">
            <w:pPr>
              <w:pStyle w:val="Tabeltekst"/>
              <w:keepNext/>
              <w:rPr>
                <w:color w:val="595959" w:themeColor="text1" w:themeTint="A6"/>
              </w:rPr>
            </w:pPr>
            <w:r w:rsidRPr="0033599C">
              <w:rPr>
                <w:color w:val="595959" w:themeColor="text1" w:themeTint="A6"/>
              </w:rPr>
              <w:t>Nestlé</w:t>
            </w:r>
          </w:p>
        </w:tc>
        <w:tc>
          <w:tcPr>
            <w:tcW w:w="2046" w:type="dxa"/>
          </w:tcPr>
          <w:p w:rsidR="00802829" w:rsidRPr="0033599C" w:rsidRDefault="00802829" w:rsidP="003259AC">
            <w:pPr>
              <w:pStyle w:val="Tabeltekst"/>
              <w:keepNext/>
              <w:jc w:val="left"/>
              <w:cnfStyle w:val="000000000000"/>
              <w:rPr>
                <w:color w:val="595959" w:themeColor="text1" w:themeTint="A6"/>
              </w:rPr>
            </w:pPr>
            <w:r w:rsidRPr="0033599C">
              <w:rPr>
                <w:color w:val="595959" w:themeColor="text1" w:themeTint="A6"/>
              </w:rPr>
              <w:t>Neuflize OBC Investissements</w:t>
            </w:r>
          </w:p>
        </w:tc>
        <w:tc>
          <w:tcPr>
            <w:tcW w:w="1134"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77,517</w:t>
            </w:r>
          </w:p>
        </w:tc>
        <w:tc>
          <w:tcPr>
            <w:tcW w:w="852"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0.00</w:t>
            </w:r>
          </w:p>
        </w:tc>
        <w:tc>
          <w:tcPr>
            <w:tcW w:w="1274" w:type="dxa"/>
          </w:tcPr>
          <w:p w:rsidR="00802829" w:rsidRPr="0033599C" w:rsidRDefault="007060CD" w:rsidP="0033599C">
            <w:pPr>
              <w:keepNext/>
              <w:cnfStyle w:val="000000000000"/>
              <w:rPr>
                <w:color w:val="595959" w:themeColor="text1" w:themeTint="A6"/>
                <w:sz w:val="20"/>
                <w:szCs w:val="20"/>
              </w:rPr>
            </w:pPr>
            <w:r w:rsidRPr="0033599C">
              <w:rPr>
                <w:color w:val="595959" w:themeColor="text1" w:themeTint="A6"/>
                <w:sz w:val="20"/>
                <w:szCs w:val="20"/>
              </w:rPr>
              <w:t>3.90</w:t>
            </w:r>
          </w:p>
        </w:tc>
        <w:tc>
          <w:tcPr>
            <w:tcW w:w="1274"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30-06-2013</w:t>
            </w:r>
          </w:p>
        </w:tc>
      </w:tr>
      <w:tr w:rsidR="0033599C" w:rsidRPr="0033599C" w:rsidTr="003259AC">
        <w:tc>
          <w:tcPr>
            <w:cnfStyle w:val="001000000000"/>
            <w:tcW w:w="2408" w:type="dxa"/>
          </w:tcPr>
          <w:p w:rsidR="00802829" w:rsidRPr="0033599C" w:rsidRDefault="00802829" w:rsidP="000226F3">
            <w:pPr>
              <w:pStyle w:val="Tabeltekst"/>
              <w:keepNext/>
              <w:rPr>
                <w:color w:val="595959" w:themeColor="text1" w:themeTint="A6"/>
              </w:rPr>
            </w:pPr>
            <w:r w:rsidRPr="0033599C">
              <w:rPr>
                <w:color w:val="595959" w:themeColor="text1" w:themeTint="A6"/>
              </w:rPr>
              <w:t>Nestlé</w:t>
            </w:r>
          </w:p>
        </w:tc>
        <w:tc>
          <w:tcPr>
            <w:tcW w:w="2046" w:type="dxa"/>
          </w:tcPr>
          <w:p w:rsidR="00802829" w:rsidRPr="0033599C" w:rsidRDefault="00802829" w:rsidP="003259AC">
            <w:pPr>
              <w:pStyle w:val="Tabeltekst"/>
              <w:keepNext/>
              <w:jc w:val="left"/>
              <w:cnfStyle w:val="000000000000"/>
              <w:rPr>
                <w:color w:val="595959" w:themeColor="text1" w:themeTint="A6"/>
              </w:rPr>
            </w:pPr>
            <w:r w:rsidRPr="0033599C">
              <w:rPr>
                <w:color w:val="595959" w:themeColor="text1" w:themeTint="A6"/>
              </w:rPr>
              <w:t>Bethmann Bank</w:t>
            </w:r>
          </w:p>
        </w:tc>
        <w:tc>
          <w:tcPr>
            <w:tcW w:w="1134"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97,874</w:t>
            </w:r>
          </w:p>
        </w:tc>
        <w:tc>
          <w:tcPr>
            <w:tcW w:w="852"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0.00</w:t>
            </w:r>
          </w:p>
        </w:tc>
        <w:tc>
          <w:tcPr>
            <w:tcW w:w="1274" w:type="dxa"/>
          </w:tcPr>
          <w:p w:rsidR="00802829" w:rsidRPr="0033599C" w:rsidRDefault="007060CD" w:rsidP="0033599C">
            <w:pPr>
              <w:keepNext/>
              <w:cnfStyle w:val="000000000000"/>
              <w:rPr>
                <w:color w:val="595959" w:themeColor="text1" w:themeTint="A6"/>
                <w:sz w:val="20"/>
                <w:szCs w:val="20"/>
              </w:rPr>
            </w:pPr>
            <w:r w:rsidRPr="0033599C">
              <w:rPr>
                <w:color w:val="595959" w:themeColor="text1" w:themeTint="A6"/>
                <w:sz w:val="20"/>
                <w:szCs w:val="20"/>
              </w:rPr>
              <w:t>5.00</w:t>
            </w:r>
          </w:p>
        </w:tc>
        <w:tc>
          <w:tcPr>
            <w:tcW w:w="1274"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31-05-2013</w:t>
            </w:r>
          </w:p>
        </w:tc>
      </w:tr>
      <w:tr w:rsidR="0033599C" w:rsidRPr="0033599C" w:rsidTr="00652FBA">
        <w:tc>
          <w:tcPr>
            <w:cnfStyle w:val="001000000000"/>
            <w:tcW w:w="2408" w:type="dxa"/>
            <w:tcBorders>
              <w:top w:val="single" w:sz="4" w:space="0" w:color="9FCB3B"/>
              <w:bottom w:val="single" w:sz="4" w:space="0" w:color="9FCB3B"/>
            </w:tcBorders>
          </w:tcPr>
          <w:p w:rsidR="00B32471" w:rsidRPr="0033599C" w:rsidRDefault="00B32471" w:rsidP="009A46A4">
            <w:pPr>
              <w:pStyle w:val="Tabeltekst"/>
              <w:keepNext/>
              <w:rPr>
                <w:b/>
                <w:color w:val="595959" w:themeColor="text1" w:themeTint="A6"/>
              </w:rPr>
            </w:pPr>
            <w:r w:rsidRPr="0033599C">
              <w:rPr>
                <w:b/>
                <w:color w:val="595959" w:themeColor="text1" w:themeTint="A6"/>
              </w:rPr>
              <w:t>Palm oil, sugar and soy traders</w:t>
            </w:r>
          </w:p>
        </w:tc>
        <w:tc>
          <w:tcPr>
            <w:tcW w:w="2046" w:type="dxa"/>
            <w:tcBorders>
              <w:top w:val="single" w:sz="4" w:space="0" w:color="9FCB3B"/>
              <w:bottom w:val="single" w:sz="4" w:space="0" w:color="9FCB3B"/>
            </w:tcBorders>
          </w:tcPr>
          <w:p w:rsidR="00B32471" w:rsidRPr="0033599C" w:rsidRDefault="00B32471">
            <w:pPr>
              <w:pStyle w:val="Tabeltekst"/>
              <w:keepNext/>
              <w:jc w:val="left"/>
              <w:cnfStyle w:val="000000000000"/>
              <w:rPr>
                <w:b/>
                <w:color w:val="595959" w:themeColor="text1" w:themeTint="A6"/>
              </w:rPr>
            </w:pPr>
            <w:r w:rsidRPr="0033599C">
              <w:rPr>
                <w:b/>
                <w:color w:val="595959" w:themeColor="text1" w:themeTint="A6"/>
              </w:rPr>
              <w:t>Investor</w:t>
            </w:r>
          </w:p>
        </w:tc>
        <w:tc>
          <w:tcPr>
            <w:tcW w:w="1134" w:type="dxa"/>
            <w:tcBorders>
              <w:top w:val="single" w:sz="4" w:space="0" w:color="9FCB3B"/>
              <w:bottom w:val="single" w:sz="4" w:space="0" w:color="9FCB3B"/>
            </w:tcBorders>
          </w:tcPr>
          <w:p w:rsidR="00B32471" w:rsidRPr="0033599C" w:rsidRDefault="00B32471" w:rsidP="0033599C">
            <w:pPr>
              <w:keepNext/>
              <w:cnfStyle w:val="000000000000"/>
              <w:rPr>
                <w:b/>
                <w:color w:val="595959" w:themeColor="text1" w:themeTint="A6"/>
                <w:sz w:val="20"/>
                <w:szCs w:val="20"/>
              </w:rPr>
            </w:pPr>
            <w:r w:rsidRPr="0033599C">
              <w:rPr>
                <w:b/>
                <w:color w:val="595959" w:themeColor="text1" w:themeTint="A6"/>
                <w:sz w:val="20"/>
                <w:szCs w:val="20"/>
              </w:rPr>
              <w:t>Amount of shares</w:t>
            </w:r>
          </w:p>
        </w:tc>
        <w:tc>
          <w:tcPr>
            <w:tcW w:w="852" w:type="dxa"/>
            <w:tcBorders>
              <w:top w:val="single" w:sz="4" w:space="0" w:color="9FCB3B"/>
              <w:bottom w:val="single" w:sz="4" w:space="0" w:color="9FCB3B"/>
            </w:tcBorders>
          </w:tcPr>
          <w:p w:rsidR="00B32471" w:rsidRPr="0033599C" w:rsidRDefault="00B32471" w:rsidP="0033599C">
            <w:pPr>
              <w:keepNext/>
              <w:cnfStyle w:val="000000000000"/>
              <w:rPr>
                <w:b/>
                <w:color w:val="595959" w:themeColor="text1" w:themeTint="A6"/>
                <w:sz w:val="20"/>
                <w:szCs w:val="20"/>
              </w:rPr>
            </w:pPr>
            <w:r w:rsidRPr="0033599C">
              <w:rPr>
                <w:b/>
                <w:color w:val="595959" w:themeColor="text1" w:themeTint="A6"/>
                <w:sz w:val="20"/>
                <w:szCs w:val="20"/>
              </w:rPr>
              <w:t>% of all shares</w:t>
            </w:r>
          </w:p>
        </w:tc>
        <w:tc>
          <w:tcPr>
            <w:tcW w:w="1274" w:type="dxa"/>
            <w:tcBorders>
              <w:top w:val="single" w:sz="4" w:space="0" w:color="9FCB3B"/>
              <w:bottom w:val="single" w:sz="4" w:space="0" w:color="9FCB3B"/>
            </w:tcBorders>
          </w:tcPr>
          <w:p w:rsidR="00B32471" w:rsidRPr="0033599C" w:rsidRDefault="00B32471" w:rsidP="0033599C">
            <w:pPr>
              <w:pStyle w:val="Tabeltekst"/>
              <w:keepNext/>
              <w:cnfStyle w:val="000000000000"/>
              <w:rPr>
                <w:b/>
                <w:color w:val="595959" w:themeColor="text1" w:themeTint="A6"/>
              </w:rPr>
            </w:pPr>
            <w:r w:rsidRPr="0033599C">
              <w:rPr>
                <w:b/>
                <w:color w:val="595959" w:themeColor="text1" w:themeTint="A6"/>
              </w:rPr>
              <w:t xml:space="preserve">Value </w:t>
            </w:r>
          </w:p>
          <w:p w:rsidR="00B32471" w:rsidRPr="0033599C" w:rsidRDefault="00B32471" w:rsidP="0033599C">
            <w:pPr>
              <w:keepNext/>
              <w:cnfStyle w:val="000000000000"/>
              <w:rPr>
                <w:b/>
                <w:color w:val="595959" w:themeColor="text1" w:themeTint="A6"/>
                <w:sz w:val="20"/>
                <w:szCs w:val="20"/>
              </w:rPr>
            </w:pPr>
            <w:r w:rsidRPr="0033599C">
              <w:rPr>
                <w:b/>
                <w:color w:val="595959" w:themeColor="text1" w:themeTint="A6"/>
                <w:sz w:val="20"/>
                <w:szCs w:val="20"/>
              </w:rPr>
              <w:t>(€ million)</w:t>
            </w:r>
          </w:p>
        </w:tc>
        <w:tc>
          <w:tcPr>
            <w:tcW w:w="1274" w:type="dxa"/>
            <w:tcBorders>
              <w:top w:val="single" w:sz="4" w:space="0" w:color="9FCB3B"/>
              <w:bottom w:val="single" w:sz="4" w:space="0" w:color="9FCB3B"/>
            </w:tcBorders>
          </w:tcPr>
          <w:p w:rsidR="00B32471" w:rsidRPr="0033599C" w:rsidRDefault="00B32471" w:rsidP="0033599C">
            <w:pPr>
              <w:keepNext/>
              <w:cnfStyle w:val="000000000000"/>
              <w:rPr>
                <w:b/>
                <w:color w:val="595959" w:themeColor="text1" w:themeTint="A6"/>
                <w:sz w:val="20"/>
                <w:szCs w:val="20"/>
              </w:rPr>
            </w:pPr>
            <w:r w:rsidRPr="0033599C">
              <w:rPr>
                <w:b/>
                <w:color w:val="595959" w:themeColor="text1" w:themeTint="A6"/>
                <w:sz w:val="20"/>
                <w:szCs w:val="20"/>
              </w:rPr>
              <w:t>Filing date</w:t>
            </w:r>
          </w:p>
        </w:tc>
      </w:tr>
      <w:tr w:rsidR="0033599C" w:rsidRPr="0033599C" w:rsidTr="00652FBA">
        <w:tc>
          <w:tcPr>
            <w:cnfStyle w:val="001000000000"/>
            <w:tcW w:w="2408" w:type="dxa"/>
            <w:tcBorders>
              <w:top w:val="single" w:sz="4" w:space="0" w:color="9FCB3B"/>
            </w:tcBorders>
          </w:tcPr>
          <w:p w:rsidR="00802829" w:rsidRPr="0033599C" w:rsidRDefault="00802829" w:rsidP="009A46A4">
            <w:pPr>
              <w:pStyle w:val="Tabeltekst"/>
              <w:keepNext/>
              <w:rPr>
                <w:color w:val="595959" w:themeColor="text1" w:themeTint="A6"/>
              </w:rPr>
            </w:pPr>
            <w:r w:rsidRPr="0033599C">
              <w:rPr>
                <w:color w:val="595959" w:themeColor="text1" w:themeTint="A6"/>
              </w:rPr>
              <w:t>Archer Daniels Midland</w:t>
            </w:r>
          </w:p>
        </w:tc>
        <w:tc>
          <w:tcPr>
            <w:tcW w:w="2046" w:type="dxa"/>
            <w:tcBorders>
              <w:top w:val="single" w:sz="4" w:space="0" w:color="9FCB3B"/>
            </w:tcBorders>
          </w:tcPr>
          <w:p w:rsidR="00802829" w:rsidRPr="0033599C" w:rsidRDefault="00802829" w:rsidP="003259AC">
            <w:pPr>
              <w:pStyle w:val="Tabeltekst"/>
              <w:keepNext/>
              <w:jc w:val="left"/>
              <w:cnfStyle w:val="000000000000"/>
              <w:rPr>
                <w:color w:val="595959" w:themeColor="text1" w:themeTint="A6"/>
              </w:rPr>
            </w:pPr>
            <w:r w:rsidRPr="0033599C">
              <w:rPr>
                <w:color w:val="595959" w:themeColor="text1" w:themeTint="A6"/>
              </w:rPr>
              <w:t>Neuflize OBC Investissements</w:t>
            </w:r>
          </w:p>
        </w:tc>
        <w:tc>
          <w:tcPr>
            <w:tcW w:w="1134" w:type="dxa"/>
            <w:tcBorders>
              <w:top w:val="single" w:sz="4" w:space="0" w:color="9FCB3B"/>
            </w:tcBorders>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859,000</w:t>
            </w:r>
          </w:p>
        </w:tc>
        <w:tc>
          <w:tcPr>
            <w:tcW w:w="852" w:type="dxa"/>
            <w:tcBorders>
              <w:top w:val="single" w:sz="4" w:space="0" w:color="9FCB3B"/>
            </w:tcBorders>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0.13</w:t>
            </w:r>
          </w:p>
        </w:tc>
        <w:tc>
          <w:tcPr>
            <w:tcW w:w="1274" w:type="dxa"/>
            <w:tcBorders>
              <w:top w:val="single" w:sz="4" w:space="0" w:color="9FCB3B"/>
            </w:tcBorders>
          </w:tcPr>
          <w:p w:rsidR="00802829" w:rsidRPr="0033599C" w:rsidRDefault="007060CD" w:rsidP="0033599C">
            <w:pPr>
              <w:keepNext/>
              <w:cnfStyle w:val="000000000000"/>
              <w:rPr>
                <w:color w:val="595959" w:themeColor="text1" w:themeTint="A6"/>
                <w:sz w:val="20"/>
                <w:szCs w:val="20"/>
              </w:rPr>
            </w:pPr>
            <w:r w:rsidRPr="0033599C">
              <w:rPr>
                <w:color w:val="595959" w:themeColor="text1" w:themeTint="A6"/>
                <w:sz w:val="20"/>
                <w:szCs w:val="20"/>
              </w:rPr>
              <w:t>22</w:t>
            </w:r>
            <w:r w:rsidR="00802829" w:rsidRPr="0033599C">
              <w:rPr>
                <w:color w:val="595959" w:themeColor="text1" w:themeTint="A6"/>
                <w:sz w:val="20"/>
                <w:szCs w:val="20"/>
              </w:rPr>
              <w:t>.</w:t>
            </w:r>
            <w:r w:rsidRPr="0033599C">
              <w:rPr>
                <w:color w:val="595959" w:themeColor="text1" w:themeTint="A6"/>
                <w:sz w:val="20"/>
                <w:szCs w:val="20"/>
              </w:rPr>
              <w:t>39</w:t>
            </w:r>
          </w:p>
        </w:tc>
        <w:tc>
          <w:tcPr>
            <w:tcW w:w="1274" w:type="dxa"/>
            <w:tcBorders>
              <w:top w:val="single" w:sz="4" w:space="0" w:color="9FCB3B"/>
            </w:tcBorders>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30-06-2013</w:t>
            </w:r>
          </w:p>
        </w:tc>
      </w:tr>
      <w:tr w:rsidR="0033599C" w:rsidRPr="0033599C" w:rsidTr="003259AC">
        <w:tc>
          <w:tcPr>
            <w:cnfStyle w:val="001000000000"/>
            <w:tcW w:w="2408" w:type="dxa"/>
          </w:tcPr>
          <w:p w:rsidR="00802829" w:rsidRPr="0033599C" w:rsidRDefault="00802829" w:rsidP="009A46A4">
            <w:pPr>
              <w:pStyle w:val="Tabeltekst"/>
              <w:keepNext/>
              <w:rPr>
                <w:color w:val="595959" w:themeColor="text1" w:themeTint="A6"/>
              </w:rPr>
            </w:pPr>
            <w:r w:rsidRPr="0033599C">
              <w:rPr>
                <w:color w:val="595959" w:themeColor="text1" w:themeTint="A6"/>
              </w:rPr>
              <w:t>Bunge</w:t>
            </w:r>
          </w:p>
        </w:tc>
        <w:tc>
          <w:tcPr>
            <w:tcW w:w="2046" w:type="dxa"/>
          </w:tcPr>
          <w:p w:rsidR="00802829" w:rsidRPr="0033599C" w:rsidRDefault="00802829" w:rsidP="003259AC">
            <w:pPr>
              <w:pStyle w:val="Tabeltekst"/>
              <w:keepNext/>
              <w:jc w:val="left"/>
              <w:cnfStyle w:val="000000000000"/>
              <w:rPr>
                <w:color w:val="595959" w:themeColor="text1" w:themeTint="A6"/>
              </w:rPr>
            </w:pPr>
            <w:r w:rsidRPr="0033599C">
              <w:rPr>
                <w:color w:val="595959" w:themeColor="text1" w:themeTint="A6"/>
              </w:rPr>
              <w:t>Neuflize OBC Investissements</w:t>
            </w:r>
          </w:p>
        </w:tc>
        <w:tc>
          <w:tcPr>
            <w:tcW w:w="1134"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362,618</w:t>
            </w:r>
          </w:p>
        </w:tc>
        <w:tc>
          <w:tcPr>
            <w:tcW w:w="852"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0.25</w:t>
            </w:r>
          </w:p>
        </w:tc>
        <w:tc>
          <w:tcPr>
            <w:tcW w:w="1274" w:type="dxa"/>
          </w:tcPr>
          <w:p w:rsidR="00802829" w:rsidRPr="0033599C" w:rsidRDefault="007060CD" w:rsidP="0033599C">
            <w:pPr>
              <w:keepNext/>
              <w:cnfStyle w:val="000000000000"/>
              <w:rPr>
                <w:color w:val="595959" w:themeColor="text1" w:themeTint="A6"/>
                <w:sz w:val="20"/>
                <w:szCs w:val="20"/>
              </w:rPr>
            </w:pPr>
            <w:r w:rsidRPr="0033599C">
              <w:rPr>
                <w:color w:val="595959" w:themeColor="text1" w:themeTint="A6"/>
                <w:sz w:val="20"/>
                <w:szCs w:val="20"/>
              </w:rPr>
              <w:t>19</w:t>
            </w:r>
            <w:r w:rsidR="00802829" w:rsidRPr="0033599C">
              <w:rPr>
                <w:color w:val="595959" w:themeColor="text1" w:themeTint="A6"/>
                <w:sz w:val="20"/>
                <w:szCs w:val="20"/>
              </w:rPr>
              <w:t>.</w:t>
            </w:r>
            <w:r w:rsidRPr="0033599C">
              <w:rPr>
                <w:color w:val="595959" w:themeColor="text1" w:themeTint="A6"/>
                <w:sz w:val="20"/>
                <w:szCs w:val="20"/>
              </w:rPr>
              <w:t>72</w:t>
            </w:r>
          </w:p>
        </w:tc>
        <w:tc>
          <w:tcPr>
            <w:tcW w:w="1274" w:type="dxa"/>
          </w:tcPr>
          <w:p w:rsidR="00802829" w:rsidRPr="0033599C" w:rsidRDefault="00802829" w:rsidP="0033599C">
            <w:pPr>
              <w:keepNext/>
              <w:cnfStyle w:val="000000000000"/>
              <w:rPr>
                <w:color w:val="595959" w:themeColor="text1" w:themeTint="A6"/>
                <w:sz w:val="20"/>
                <w:szCs w:val="20"/>
              </w:rPr>
            </w:pPr>
            <w:r w:rsidRPr="0033599C">
              <w:rPr>
                <w:color w:val="595959" w:themeColor="text1" w:themeTint="A6"/>
                <w:sz w:val="20"/>
                <w:szCs w:val="20"/>
              </w:rPr>
              <w:t>30-06-2013</w:t>
            </w:r>
          </w:p>
        </w:tc>
      </w:tr>
    </w:tbl>
    <w:p w:rsidR="00ED1F1A" w:rsidRPr="00144FE5" w:rsidRDefault="00ED1F1A" w:rsidP="00ED1F1A">
      <w:pPr>
        <w:pStyle w:val="Tabelbron"/>
        <w:rPr>
          <w:lang w:val="en-US"/>
        </w:rPr>
      </w:pPr>
      <w:r w:rsidRPr="00144FE5">
        <w:rPr>
          <w:lang w:val="en-US"/>
        </w:rPr>
        <w:t xml:space="preserve">Source: </w:t>
      </w:r>
      <w:r w:rsidR="00144FE5" w:rsidRPr="00144FE5">
        <w:t xml:space="preserve">Thomson ONE Banker, “Share ownership”, Thomson ONE Banker (www.thomsonone.com), </w:t>
      </w:r>
      <w:r w:rsidR="00144FE5">
        <w:t>Viewed in August 2013</w:t>
      </w:r>
      <w:r w:rsidRPr="00144FE5">
        <w:rPr>
          <w:lang w:val="en-US"/>
        </w:rPr>
        <w:t>.</w:t>
      </w:r>
    </w:p>
    <w:p w:rsidR="006B0B8C" w:rsidRDefault="006B0B8C" w:rsidP="00982905">
      <w:pPr>
        <w:rPr>
          <w:lang w:val="en-US"/>
        </w:rPr>
      </w:pPr>
    </w:p>
    <w:p w:rsidR="00B32471" w:rsidRPr="00144FE5" w:rsidRDefault="00B32471" w:rsidP="00982905">
      <w:pPr>
        <w:rPr>
          <w:lang w:val="en-US"/>
        </w:rPr>
      </w:pPr>
    </w:p>
    <w:p w:rsidR="00E650BB" w:rsidRPr="00546F0A" w:rsidRDefault="00ED1F1A" w:rsidP="00ED1F1A">
      <w:pPr>
        <w:pStyle w:val="Heading2"/>
        <w:rPr>
          <w:lang w:val="en-US"/>
        </w:rPr>
      </w:pPr>
      <w:bookmarkStart w:id="16" w:name="_Toc365554333"/>
      <w:r>
        <w:rPr>
          <w:lang w:val="en-US"/>
        </w:rPr>
        <w:t>Share issuances</w:t>
      </w:r>
      <w:bookmarkEnd w:id="16"/>
    </w:p>
    <w:p w:rsidR="00E650BB" w:rsidRDefault="00A72C16" w:rsidP="00982905">
      <w:r w:rsidRPr="00C25ADD">
        <w:t xml:space="preserve">No information was found on the participation of </w:t>
      </w:r>
      <w:r>
        <w:t>ABN Amro</w:t>
      </w:r>
      <w:r w:rsidRPr="00C25ADD">
        <w:t xml:space="preserve"> in share issuances by </w:t>
      </w:r>
      <w:r>
        <w:t>the selected food companies since 1 July 2010.</w:t>
      </w:r>
    </w:p>
    <w:p w:rsidR="00A72C16" w:rsidRPr="00546F0A" w:rsidRDefault="00A72C16" w:rsidP="00982905">
      <w:pPr>
        <w:rPr>
          <w:lang w:val="en-US"/>
        </w:rPr>
      </w:pPr>
    </w:p>
    <w:p w:rsidR="00415768" w:rsidRDefault="00ED1F1A" w:rsidP="00ED1F1A">
      <w:pPr>
        <w:pStyle w:val="Heading2"/>
        <w:rPr>
          <w:lang w:val="en-US"/>
        </w:rPr>
      </w:pPr>
      <w:bookmarkStart w:id="17" w:name="_Toc365554334"/>
      <w:r>
        <w:rPr>
          <w:lang w:val="en-US"/>
        </w:rPr>
        <w:t>Bondholdings</w:t>
      </w:r>
      <w:bookmarkEnd w:id="17"/>
    </w:p>
    <w:p w:rsidR="000C3229" w:rsidRDefault="00C20147" w:rsidP="000C3229">
      <w:pPr>
        <w:rPr>
          <w:lang w:val="en-US"/>
        </w:rPr>
      </w:pPr>
      <w:r>
        <w:rPr>
          <w:lang w:val="en-US"/>
        </w:rPr>
        <w:t xml:space="preserve">ABN Amro does not </w:t>
      </w:r>
      <w:r w:rsidR="00451D40">
        <w:rPr>
          <w:lang w:val="en-US"/>
        </w:rPr>
        <w:t xml:space="preserve">have any bondholdings </w:t>
      </w:r>
      <w:r w:rsidR="00BB5BC8">
        <w:rPr>
          <w:lang w:val="en-US"/>
        </w:rPr>
        <w:t>in</w:t>
      </w:r>
      <w:r w:rsidR="00451D40">
        <w:rPr>
          <w:lang w:val="en-US"/>
        </w:rPr>
        <w:t xml:space="preserve"> bonds issued by the selected</w:t>
      </w:r>
      <w:r>
        <w:rPr>
          <w:lang w:val="en-US"/>
        </w:rPr>
        <w:t xml:space="preserve"> food companies</w:t>
      </w:r>
      <w:r w:rsidR="00BB5BC8">
        <w:rPr>
          <w:lang w:val="en-US"/>
        </w:rPr>
        <w:t xml:space="preserve"> with a value higher than </w:t>
      </w:r>
      <w:r w:rsidR="00BB5BC8" w:rsidRPr="00BB5BC8">
        <w:rPr>
          <w:lang w:val="en-US"/>
        </w:rPr>
        <w:t>€</w:t>
      </w:r>
      <w:r w:rsidR="00BB5BC8">
        <w:rPr>
          <w:lang w:val="en-US"/>
        </w:rPr>
        <w:t xml:space="preserve"> 1 million</w:t>
      </w:r>
      <w:r>
        <w:rPr>
          <w:lang w:val="en-US"/>
        </w:rPr>
        <w:t xml:space="preserve">. </w:t>
      </w:r>
    </w:p>
    <w:p w:rsidR="000C3229" w:rsidRPr="000C3229" w:rsidRDefault="000C3229" w:rsidP="000C3229">
      <w:pPr>
        <w:rPr>
          <w:lang w:val="en-US"/>
        </w:rPr>
      </w:pPr>
    </w:p>
    <w:p w:rsidR="00ED1F1A" w:rsidRDefault="00ED1F1A" w:rsidP="00ED1F1A">
      <w:pPr>
        <w:pStyle w:val="Heading2"/>
        <w:rPr>
          <w:lang w:val="en-US"/>
        </w:rPr>
      </w:pPr>
      <w:bookmarkStart w:id="18" w:name="_Toc365554335"/>
      <w:r>
        <w:rPr>
          <w:lang w:val="en-US"/>
        </w:rPr>
        <w:t>Bond issuances</w:t>
      </w:r>
      <w:bookmarkEnd w:id="18"/>
    </w:p>
    <w:p w:rsidR="00A72C16" w:rsidRDefault="00A72C16" w:rsidP="00A72C16">
      <w:r w:rsidRPr="00C25ADD">
        <w:t xml:space="preserve">No information was found on the participation of </w:t>
      </w:r>
      <w:r>
        <w:t>ABN Amro</w:t>
      </w:r>
      <w:r w:rsidRPr="00C25ADD">
        <w:t xml:space="preserve"> in </w:t>
      </w:r>
      <w:r>
        <w:t>bond</w:t>
      </w:r>
      <w:r w:rsidRPr="00C25ADD">
        <w:t xml:space="preserve"> issuances by </w:t>
      </w:r>
      <w:r>
        <w:t>the selected food companies since 1 July 2010.</w:t>
      </w:r>
    </w:p>
    <w:p w:rsidR="00ED1F1A" w:rsidRPr="00A72C16" w:rsidRDefault="00ED1F1A" w:rsidP="00ED1F1A"/>
    <w:p w:rsidR="00ED1F1A" w:rsidRPr="00ED1F1A" w:rsidRDefault="00ED1F1A" w:rsidP="00ED1F1A">
      <w:pPr>
        <w:pStyle w:val="Heading2"/>
        <w:rPr>
          <w:lang w:val="en-US"/>
        </w:rPr>
      </w:pPr>
      <w:bookmarkStart w:id="19" w:name="_Toc365554336"/>
      <w:r>
        <w:rPr>
          <w:lang w:val="en-US"/>
        </w:rPr>
        <w:t>Loans</w:t>
      </w:r>
      <w:bookmarkEnd w:id="19"/>
    </w:p>
    <w:p w:rsidR="00415768" w:rsidRDefault="009A46A4" w:rsidP="00415768">
      <w:pPr>
        <w:rPr>
          <w:lang w:val="en-US"/>
        </w:rPr>
      </w:pPr>
      <w:r w:rsidRPr="009A46A4">
        <w:rPr>
          <w:lang w:val="en-US"/>
        </w:rPr>
        <w:t xml:space="preserve">Since </w:t>
      </w:r>
      <w:r w:rsidR="00887051">
        <w:rPr>
          <w:lang w:val="en-US"/>
        </w:rPr>
        <w:t xml:space="preserve">1 </w:t>
      </w:r>
      <w:r>
        <w:rPr>
          <w:lang w:val="en-US"/>
        </w:rPr>
        <w:t>July</w:t>
      </w:r>
      <w:r w:rsidRPr="009A46A4">
        <w:rPr>
          <w:lang w:val="en-US"/>
        </w:rPr>
        <w:t xml:space="preserve"> 20</w:t>
      </w:r>
      <w:r>
        <w:rPr>
          <w:lang w:val="en-US"/>
        </w:rPr>
        <w:t>10</w:t>
      </w:r>
      <w:r w:rsidRPr="009A46A4">
        <w:rPr>
          <w:lang w:val="en-US"/>
        </w:rPr>
        <w:t xml:space="preserve"> </w:t>
      </w:r>
      <w:r>
        <w:rPr>
          <w:lang w:val="en-US"/>
        </w:rPr>
        <w:t>ABN Amro</w:t>
      </w:r>
      <w:r w:rsidRPr="009A46A4">
        <w:rPr>
          <w:lang w:val="en-US"/>
        </w:rPr>
        <w:t xml:space="preserve"> provided the following loans to </w:t>
      </w:r>
      <w:r w:rsidR="00521F91">
        <w:rPr>
          <w:lang w:val="en-US"/>
        </w:rPr>
        <w:t xml:space="preserve">the 22 </w:t>
      </w:r>
      <w:r>
        <w:rPr>
          <w:lang w:val="en-US"/>
        </w:rPr>
        <w:t xml:space="preserve">food </w:t>
      </w:r>
      <w:r w:rsidR="00887051">
        <w:rPr>
          <w:lang w:val="en-US"/>
        </w:rPr>
        <w:t>companies</w:t>
      </w:r>
      <w:r w:rsidR="00521F91">
        <w:rPr>
          <w:lang w:val="en-US"/>
        </w:rPr>
        <w:t>:</w:t>
      </w:r>
    </w:p>
    <w:p w:rsidR="009A46A4" w:rsidRDefault="009A46A4" w:rsidP="00415768">
      <w:pPr>
        <w:rPr>
          <w:lang w:val="en-US"/>
        </w:rPr>
      </w:pPr>
    </w:p>
    <w:p w:rsidR="009A46A4" w:rsidRPr="009A46A4" w:rsidRDefault="009A46A4" w:rsidP="00322909">
      <w:pPr>
        <w:pStyle w:val="Opsomming1"/>
        <w:rPr>
          <w:lang w:val="en-US"/>
        </w:rPr>
      </w:pPr>
      <w:r w:rsidRPr="009A46A4">
        <w:rPr>
          <w:lang w:val="en-US"/>
        </w:rPr>
        <w:t>Bunge:</w:t>
      </w:r>
    </w:p>
    <w:p w:rsidR="009A46A4" w:rsidRPr="009A46A4" w:rsidRDefault="009A46A4" w:rsidP="00322909">
      <w:pPr>
        <w:pStyle w:val="Opsomming3"/>
        <w:rPr>
          <w:lang w:val="en-US"/>
        </w:rPr>
      </w:pPr>
      <w:r>
        <w:rPr>
          <w:lang w:val="en-US"/>
        </w:rPr>
        <w:lastRenderedPageBreak/>
        <w:t xml:space="preserve">In March 2011 ABN Amro </w:t>
      </w:r>
      <w:r w:rsidRPr="009A46A4">
        <w:rPr>
          <w:lang w:val="en-US"/>
        </w:rPr>
        <w:t xml:space="preserve">participated in a syndicated revolving credit facility for </w:t>
      </w:r>
      <w:r>
        <w:rPr>
          <w:lang w:val="en-US"/>
        </w:rPr>
        <w:t>Bunge</w:t>
      </w:r>
      <w:r w:rsidRPr="009A46A4">
        <w:rPr>
          <w:lang w:val="en-US"/>
        </w:rPr>
        <w:t>. The total value of the facility was US$ 1,</w:t>
      </w:r>
      <w:r>
        <w:rPr>
          <w:lang w:val="en-US"/>
        </w:rPr>
        <w:t>75</w:t>
      </w:r>
      <w:r w:rsidRPr="009A46A4">
        <w:rPr>
          <w:lang w:val="en-US"/>
        </w:rPr>
        <w:t xml:space="preserve">0 million (€ </w:t>
      </w:r>
      <w:r>
        <w:rPr>
          <w:lang w:val="en-US"/>
        </w:rPr>
        <w:t>1,232</w:t>
      </w:r>
      <w:r w:rsidRPr="009A46A4">
        <w:rPr>
          <w:lang w:val="en-US"/>
        </w:rPr>
        <w:t xml:space="preserve"> million). </w:t>
      </w:r>
      <w:r w:rsidR="006C235F">
        <w:rPr>
          <w:lang w:val="en-US"/>
        </w:rPr>
        <w:t xml:space="preserve">ABN Amro was one of the 11 lead arrangers for the credit facility. </w:t>
      </w:r>
      <w:r>
        <w:rPr>
          <w:lang w:val="en-US"/>
        </w:rPr>
        <w:t>The</w:t>
      </w:r>
      <w:r w:rsidR="006C235F">
        <w:rPr>
          <w:lang w:val="en-US"/>
        </w:rPr>
        <w:t xml:space="preserve"> total</w:t>
      </w:r>
      <w:r>
        <w:rPr>
          <w:lang w:val="en-US"/>
        </w:rPr>
        <w:t xml:space="preserve"> banking syndicate consisted of 3</w:t>
      </w:r>
      <w:r w:rsidR="00BE70F3">
        <w:rPr>
          <w:lang w:val="en-US"/>
        </w:rPr>
        <w:t>7</w:t>
      </w:r>
      <w:r w:rsidRPr="009A46A4">
        <w:rPr>
          <w:lang w:val="en-US"/>
        </w:rPr>
        <w:t xml:space="preserve"> banks. The maturity date is in </w:t>
      </w:r>
      <w:r>
        <w:rPr>
          <w:lang w:val="en-US"/>
        </w:rPr>
        <w:t>March</w:t>
      </w:r>
      <w:r w:rsidRPr="009A46A4">
        <w:rPr>
          <w:lang w:val="en-US"/>
        </w:rPr>
        <w:t xml:space="preserve"> 201</w:t>
      </w:r>
      <w:r>
        <w:rPr>
          <w:lang w:val="en-US"/>
        </w:rPr>
        <w:t>4</w:t>
      </w:r>
      <w:r w:rsidRPr="009A46A4">
        <w:rPr>
          <w:lang w:val="en-US"/>
        </w:rPr>
        <w:t xml:space="preserve">. The facility was initiated </w:t>
      </w:r>
      <w:r w:rsidR="000446BF">
        <w:rPr>
          <w:lang w:val="en-US"/>
        </w:rPr>
        <w:t>for general corporate purposes</w:t>
      </w:r>
      <w:r>
        <w:rPr>
          <w:lang w:val="en-US"/>
        </w:rPr>
        <w:t>, working capital and refinancing of bank debt</w:t>
      </w:r>
      <w:r w:rsidRPr="009A46A4">
        <w:rPr>
          <w:lang w:val="en-US"/>
        </w:rPr>
        <w:t xml:space="preserve">. </w:t>
      </w:r>
      <w:r>
        <w:rPr>
          <w:lang w:val="en-US"/>
        </w:rPr>
        <w:t>ABN Amro</w:t>
      </w:r>
      <w:r w:rsidR="006C235F">
        <w:rPr>
          <w:lang w:val="en-US"/>
        </w:rPr>
        <w:t xml:space="preserve"> committed </w:t>
      </w:r>
      <w:r w:rsidR="00492604">
        <w:rPr>
          <w:lang w:val="en-US"/>
        </w:rPr>
        <w:t xml:space="preserve">an amount of </w:t>
      </w:r>
      <w:r w:rsidRPr="009A46A4">
        <w:rPr>
          <w:lang w:val="en-US"/>
        </w:rPr>
        <w:t xml:space="preserve">US$ </w:t>
      </w:r>
      <w:r w:rsidR="00492604">
        <w:rPr>
          <w:lang w:val="en-US"/>
        </w:rPr>
        <w:t>65</w:t>
      </w:r>
      <w:r w:rsidRPr="009A46A4">
        <w:rPr>
          <w:lang w:val="en-US"/>
        </w:rPr>
        <w:t xml:space="preserve"> million (€ </w:t>
      </w:r>
      <w:r w:rsidR="006C235F">
        <w:rPr>
          <w:lang w:val="en-US"/>
        </w:rPr>
        <w:t>46</w:t>
      </w:r>
      <w:r w:rsidRPr="009A46A4">
        <w:rPr>
          <w:lang w:val="en-US"/>
        </w:rPr>
        <w:t xml:space="preserve"> million).</w:t>
      </w:r>
      <w:r w:rsidRPr="00031898">
        <w:rPr>
          <w:rStyle w:val="EndnoteReference"/>
        </w:rPr>
        <w:endnoteReference w:id="2"/>
      </w:r>
    </w:p>
    <w:p w:rsidR="00144FE5" w:rsidRDefault="00144FE5" w:rsidP="00415768">
      <w:pPr>
        <w:rPr>
          <w:lang w:val="en-US"/>
        </w:rPr>
      </w:pPr>
    </w:p>
    <w:p w:rsidR="00C42BC2" w:rsidRPr="009A46A4" w:rsidRDefault="00C42BC2" w:rsidP="00322909">
      <w:pPr>
        <w:pStyle w:val="Opsomming1"/>
        <w:rPr>
          <w:lang w:val="en-US"/>
        </w:rPr>
      </w:pPr>
      <w:r>
        <w:rPr>
          <w:lang w:val="en-US"/>
        </w:rPr>
        <w:t>Cargill</w:t>
      </w:r>
      <w:r w:rsidRPr="009A46A4">
        <w:rPr>
          <w:lang w:val="en-US"/>
        </w:rPr>
        <w:t>:</w:t>
      </w:r>
    </w:p>
    <w:p w:rsidR="00C42BC2" w:rsidRPr="009A46A4" w:rsidRDefault="00C42BC2" w:rsidP="00322909">
      <w:pPr>
        <w:pStyle w:val="Opsomming3"/>
        <w:rPr>
          <w:lang w:val="en-US"/>
        </w:rPr>
      </w:pPr>
      <w:r>
        <w:rPr>
          <w:lang w:val="en-US"/>
        </w:rPr>
        <w:t xml:space="preserve">In February 2012 ABN Amro </w:t>
      </w:r>
      <w:r w:rsidRPr="009A46A4">
        <w:rPr>
          <w:lang w:val="en-US"/>
        </w:rPr>
        <w:t xml:space="preserve">participated in a syndicated revolving credit facility for </w:t>
      </w:r>
      <w:r>
        <w:rPr>
          <w:lang w:val="en-US"/>
        </w:rPr>
        <w:t>Cargill</w:t>
      </w:r>
      <w:r w:rsidRPr="009A46A4">
        <w:rPr>
          <w:lang w:val="en-US"/>
        </w:rPr>
        <w:t>. The total value of the facility was US$ 1,</w:t>
      </w:r>
      <w:r>
        <w:rPr>
          <w:lang w:val="en-US"/>
        </w:rPr>
        <w:t>25</w:t>
      </w:r>
      <w:r w:rsidRPr="009A46A4">
        <w:rPr>
          <w:lang w:val="en-US"/>
        </w:rPr>
        <w:t xml:space="preserve">0 million (€ </w:t>
      </w:r>
      <w:r>
        <w:rPr>
          <w:lang w:val="en-US"/>
        </w:rPr>
        <w:t>946</w:t>
      </w:r>
      <w:r w:rsidRPr="009A46A4">
        <w:rPr>
          <w:lang w:val="en-US"/>
        </w:rPr>
        <w:t xml:space="preserve"> million). </w:t>
      </w:r>
      <w:r>
        <w:rPr>
          <w:lang w:val="en-US"/>
        </w:rPr>
        <w:t>The banking syndicate consisted of 25</w:t>
      </w:r>
      <w:r w:rsidRPr="009A46A4">
        <w:rPr>
          <w:lang w:val="en-US"/>
        </w:rPr>
        <w:t xml:space="preserve"> banks. The maturity date </w:t>
      </w:r>
      <w:r w:rsidR="003E1169">
        <w:rPr>
          <w:lang w:val="en-US"/>
        </w:rPr>
        <w:t>wa</w:t>
      </w:r>
      <w:r w:rsidRPr="009A46A4">
        <w:rPr>
          <w:lang w:val="en-US"/>
        </w:rPr>
        <w:t xml:space="preserve">s in </w:t>
      </w:r>
      <w:r>
        <w:rPr>
          <w:lang w:val="en-US"/>
        </w:rPr>
        <w:t>March</w:t>
      </w:r>
      <w:r w:rsidRPr="009A46A4">
        <w:rPr>
          <w:lang w:val="en-US"/>
        </w:rPr>
        <w:t xml:space="preserve"> 201</w:t>
      </w:r>
      <w:r w:rsidR="00A72C16">
        <w:rPr>
          <w:lang w:val="en-US"/>
        </w:rPr>
        <w:t>3</w:t>
      </w:r>
      <w:r w:rsidRPr="009A46A4">
        <w:rPr>
          <w:lang w:val="en-US"/>
        </w:rPr>
        <w:t xml:space="preserve">. The facility was initiated </w:t>
      </w:r>
      <w:r w:rsidR="000446BF">
        <w:rPr>
          <w:lang w:val="en-US"/>
        </w:rPr>
        <w:t>for general corporate purposes</w:t>
      </w:r>
      <w:r>
        <w:rPr>
          <w:lang w:val="en-US"/>
        </w:rPr>
        <w:t>, working capital and refinancing of bank debt</w:t>
      </w:r>
      <w:r w:rsidRPr="009A46A4">
        <w:rPr>
          <w:lang w:val="en-US"/>
        </w:rPr>
        <w:t xml:space="preserve">. </w:t>
      </w:r>
      <w:r>
        <w:rPr>
          <w:lang w:val="en-US"/>
        </w:rPr>
        <w:t>ABN Amro</w:t>
      </w:r>
      <w:r w:rsidR="00A72C16">
        <w:rPr>
          <w:lang w:val="en-US"/>
        </w:rPr>
        <w:t>’s share is estimated at U</w:t>
      </w:r>
      <w:r w:rsidRPr="009A46A4">
        <w:rPr>
          <w:lang w:val="en-US"/>
        </w:rPr>
        <w:t xml:space="preserve">S$ </w:t>
      </w:r>
      <w:r w:rsidR="00A72C16">
        <w:rPr>
          <w:lang w:val="en-US"/>
        </w:rPr>
        <w:t>50</w:t>
      </w:r>
      <w:r w:rsidRPr="009A46A4">
        <w:rPr>
          <w:lang w:val="en-US"/>
        </w:rPr>
        <w:t xml:space="preserve"> million (€ </w:t>
      </w:r>
      <w:r w:rsidR="00A72C16">
        <w:rPr>
          <w:lang w:val="en-US"/>
        </w:rPr>
        <w:t>38</w:t>
      </w:r>
      <w:r w:rsidRPr="009A46A4">
        <w:rPr>
          <w:lang w:val="en-US"/>
        </w:rPr>
        <w:t xml:space="preserve"> million).</w:t>
      </w:r>
      <w:r w:rsidRPr="00031898">
        <w:rPr>
          <w:rStyle w:val="EndnoteReference"/>
        </w:rPr>
        <w:endnoteReference w:id="3"/>
      </w:r>
    </w:p>
    <w:p w:rsidR="00C42BC2" w:rsidRDefault="00C42BC2" w:rsidP="00415768">
      <w:pPr>
        <w:rPr>
          <w:lang w:val="en-US"/>
        </w:rPr>
      </w:pPr>
    </w:p>
    <w:p w:rsidR="003E1169" w:rsidRPr="009A46A4" w:rsidRDefault="003E1169" w:rsidP="00322909">
      <w:pPr>
        <w:pStyle w:val="Opsomming1"/>
        <w:rPr>
          <w:lang w:val="en-US"/>
        </w:rPr>
      </w:pPr>
      <w:r>
        <w:rPr>
          <w:lang w:val="en-US"/>
        </w:rPr>
        <w:t>Louis Dreyfus</w:t>
      </w:r>
      <w:r w:rsidRPr="009A46A4">
        <w:rPr>
          <w:lang w:val="en-US"/>
        </w:rPr>
        <w:t>:</w:t>
      </w:r>
    </w:p>
    <w:p w:rsidR="003E1169" w:rsidRDefault="003E1169" w:rsidP="00322909">
      <w:pPr>
        <w:pStyle w:val="Opsomming3"/>
        <w:rPr>
          <w:lang w:val="en-US"/>
        </w:rPr>
      </w:pPr>
      <w:r>
        <w:rPr>
          <w:lang w:val="en-US"/>
        </w:rPr>
        <w:t xml:space="preserve">In October 2011 ABN Amro </w:t>
      </w:r>
      <w:r w:rsidRPr="009A46A4">
        <w:rPr>
          <w:lang w:val="en-US"/>
        </w:rPr>
        <w:t xml:space="preserve">participated in a syndicated revolving credit facility for </w:t>
      </w:r>
      <w:r>
        <w:rPr>
          <w:lang w:val="en-US"/>
        </w:rPr>
        <w:t>Louis Dreyfus</w:t>
      </w:r>
      <w:r w:rsidRPr="009A46A4">
        <w:rPr>
          <w:lang w:val="en-US"/>
        </w:rPr>
        <w:t xml:space="preserve">. The total value of the facility was US$ </w:t>
      </w:r>
      <w:r>
        <w:rPr>
          <w:lang w:val="en-US"/>
        </w:rPr>
        <w:t>797</w:t>
      </w:r>
      <w:r w:rsidRPr="009A46A4">
        <w:rPr>
          <w:lang w:val="en-US"/>
        </w:rPr>
        <w:t xml:space="preserve"> million (€ </w:t>
      </w:r>
      <w:r>
        <w:rPr>
          <w:lang w:val="en-US"/>
        </w:rPr>
        <w:t>605</w:t>
      </w:r>
      <w:r w:rsidRPr="009A46A4">
        <w:rPr>
          <w:lang w:val="en-US"/>
        </w:rPr>
        <w:t xml:space="preserve"> million)</w:t>
      </w:r>
      <w:r>
        <w:rPr>
          <w:lang w:val="en-US"/>
        </w:rPr>
        <w:t>, consisting of US$ 227 million term loan and two revolving credit facilities totaling US$ 571 million</w:t>
      </w:r>
      <w:r w:rsidRPr="009A46A4">
        <w:rPr>
          <w:lang w:val="en-US"/>
        </w:rPr>
        <w:t xml:space="preserve">. </w:t>
      </w:r>
      <w:r>
        <w:rPr>
          <w:lang w:val="en-US"/>
        </w:rPr>
        <w:t>The banking syndicate consisted of 28</w:t>
      </w:r>
      <w:r w:rsidRPr="009A46A4">
        <w:rPr>
          <w:lang w:val="en-US"/>
        </w:rPr>
        <w:t xml:space="preserve"> banks. The maturity date is in </w:t>
      </w:r>
      <w:r>
        <w:rPr>
          <w:lang w:val="en-US"/>
        </w:rPr>
        <w:t>December</w:t>
      </w:r>
      <w:r w:rsidRPr="009A46A4">
        <w:rPr>
          <w:lang w:val="en-US"/>
        </w:rPr>
        <w:t xml:space="preserve"> 201</w:t>
      </w:r>
      <w:r>
        <w:rPr>
          <w:lang w:val="en-US"/>
        </w:rPr>
        <w:t>4</w:t>
      </w:r>
      <w:r w:rsidRPr="009A46A4">
        <w:rPr>
          <w:lang w:val="en-US"/>
        </w:rPr>
        <w:t xml:space="preserve">. The facility was initiated </w:t>
      </w:r>
      <w:r w:rsidR="000446BF">
        <w:rPr>
          <w:lang w:val="en-US"/>
        </w:rPr>
        <w:t>for general corporate purposes</w:t>
      </w:r>
      <w:r w:rsidRPr="009A46A4">
        <w:rPr>
          <w:lang w:val="en-US"/>
        </w:rPr>
        <w:t xml:space="preserve">. </w:t>
      </w:r>
      <w:r>
        <w:rPr>
          <w:lang w:val="en-US"/>
        </w:rPr>
        <w:t>ABN Amro’s share is estimated at U</w:t>
      </w:r>
      <w:r w:rsidRPr="009A46A4">
        <w:rPr>
          <w:lang w:val="en-US"/>
        </w:rPr>
        <w:t xml:space="preserve">S$ </w:t>
      </w:r>
      <w:r>
        <w:rPr>
          <w:lang w:val="en-US"/>
        </w:rPr>
        <w:t>28</w:t>
      </w:r>
      <w:r w:rsidRPr="009A46A4">
        <w:rPr>
          <w:lang w:val="en-US"/>
        </w:rPr>
        <w:t xml:space="preserve"> million (€ </w:t>
      </w:r>
      <w:r>
        <w:rPr>
          <w:lang w:val="en-US"/>
        </w:rPr>
        <w:t>21</w:t>
      </w:r>
      <w:r w:rsidRPr="009A46A4">
        <w:rPr>
          <w:lang w:val="en-US"/>
        </w:rPr>
        <w:t xml:space="preserve"> million).</w:t>
      </w:r>
      <w:r w:rsidRPr="00031898">
        <w:rPr>
          <w:rStyle w:val="EndnoteReference"/>
        </w:rPr>
        <w:endnoteReference w:id="4"/>
      </w:r>
    </w:p>
    <w:p w:rsidR="002025F6" w:rsidRDefault="002025F6" w:rsidP="00322909">
      <w:pPr>
        <w:pStyle w:val="Opsomming3"/>
        <w:numPr>
          <w:ilvl w:val="0"/>
          <w:numId w:val="0"/>
        </w:numPr>
        <w:ind w:left="567"/>
        <w:rPr>
          <w:lang w:val="en-US"/>
        </w:rPr>
      </w:pPr>
    </w:p>
    <w:p w:rsidR="002025F6" w:rsidRDefault="002025F6" w:rsidP="00322909">
      <w:pPr>
        <w:pStyle w:val="Opsomming3"/>
        <w:rPr>
          <w:lang w:val="en-US"/>
        </w:rPr>
      </w:pPr>
      <w:r>
        <w:rPr>
          <w:lang w:val="en-US"/>
        </w:rPr>
        <w:t xml:space="preserve">In April 2012 ABN Amro </w:t>
      </w:r>
      <w:r w:rsidRPr="009A46A4">
        <w:rPr>
          <w:lang w:val="en-US"/>
        </w:rPr>
        <w:t xml:space="preserve">participated in a syndicated revolving credit facility for </w:t>
      </w:r>
      <w:r>
        <w:rPr>
          <w:lang w:val="en-US"/>
        </w:rPr>
        <w:t>Louis Dreyfus</w:t>
      </w:r>
      <w:r w:rsidRPr="009A46A4">
        <w:rPr>
          <w:lang w:val="en-US"/>
        </w:rPr>
        <w:t xml:space="preserve">. The total value of the facility was US$ </w:t>
      </w:r>
      <w:r>
        <w:rPr>
          <w:lang w:val="en-US"/>
        </w:rPr>
        <w:t>805</w:t>
      </w:r>
      <w:r w:rsidRPr="009A46A4">
        <w:rPr>
          <w:lang w:val="en-US"/>
        </w:rPr>
        <w:t xml:space="preserve"> million (€ </w:t>
      </w:r>
      <w:r>
        <w:rPr>
          <w:lang w:val="en-US"/>
        </w:rPr>
        <w:t>619</w:t>
      </w:r>
      <w:r w:rsidRPr="009A46A4">
        <w:rPr>
          <w:lang w:val="en-US"/>
        </w:rPr>
        <w:t xml:space="preserve"> million)</w:t>
      </w:r>
      <w:r>
        <w:rPr>
          <w:lang w:val="en-US"/>
        </w:rPr>
        <w:t>, consisting of an one-year revolving credit facility of US$ 537 million and a three-year revolving credit facility of US$ 268 million</w:t>
      </w:r>
      <w:r w:rsidRPr="009A46A4">
        <w:rPr>
          <w:lang w:val="en-US"/>
        </w:rPr>
        <w:t xml:space="preserve">. </w:t>
      </w:r>
      <w:r>
        <w:rPr>
          <w:lang w:val="en-US"/>
        </w:rPr>
        <w:t>The banking syndicate consisted of 2</w:t>
      </w:r>
      <w:r w:rsidR="00782438">
        <w:rPr>
          <w:lang w:val="en-US"/>
        </w:rPr>
        <w:t>4</w:t>
      </w:r>
      <w:r w:rsidRPr="009A46A4">
        <w:rPr>
          <w:lang w:val="en-US"/>
        </w:rPr>
        <w:t xml:space="preserve"> banks</w:t>
      </w:r>
      <w:r w:rsidR="00782438">
        <w:rPr>
          <w:lang w:val="en-US"/>
        </w:rPr>
        <w:t xml:space="preserve"> and was led by </w:t>
      </w:r>
      <w:r w:rsidR="00DA2B99">
        <w:rPr>
          <w:lang w:val="en-US"/>
        </w:rPr>
        <w:t>seven banks</w:t>
      </w:r>
      <w:r w:rsidRPr="009A46A4">
        <w:rPr>
          <w:lang w:val="en-US"/>
        </w:rPr>
        <w:t xml:space="preserve">. The facility was initiated </w:t>
      </w:r>
      <w:r w:rsidR="000446BF">
        <w:rPr>
          <w:lang w:val="en-US"/>
        </w:rPr>
        <w:t>for general corporate purposes</w:t>
      </w:r>
      <w:r w:rsidRPr="009A46A4">
        <w:rPr>
          <w:lang w:val="en-US"/>
        </w:rPr>
        <w:t>.</w:t>
      </w:r>
      <w:r w:rsidR="00782438">
        <w:rPr>
          <w:lang w:val="en-US"/>
        </w:rPr>
        <w:t xml:space="preserve"> </w:t>
      </w:r>
      <w:r>
        <w:rPr>
          <w:lang w:val="en-US"/>
        </w:rPr>
        <w:t>ABN Amro’s share is estimated at U</w:t>
      </w:r>
      <w:r w:rsidRPr="009A46A4">
        <w:rPr>
          <w:lang w:val="en-US"/>
        </w:rPr>
        <w:t xml:space="preserve">S$ </w:t>
      </w:r>
      <w:r w:rsidR="00782438">
        <w:rPr>
          <w:lang w:val="en-US"/>
        </w:rPr>
        <w:t>20</w:t>
      </w:r>
      <w:r w:rsidRPr="009A46A4">
        <w:rPr>
          <w:lang w:val="en-US"/>
        </w:rPr>
        <w:t xml:space="preserve"> million (€ </w:t>
      </w:r>
      <w:r w:rsidR="00782438">
        <w:rPr>
          <w:lang w:val="en-US"/>
        </w:rPr>
        <w:t>15</w:t>
      </w:r>
      <w:r w:rsidRPr="009A46A4">
        <w:rPr>
          <w:lang w:val="en-US"/>
        </w:rPr>
        <w:t xml:space="preserve"> million).</w:t>
      </w:r>
      <w:r w:rsidRPr="00031898">
        <w:rPr>
          <w:rStyle w:val="EndnoteReference"/>
        </w:rPr>
        <w:endnoteReference w:id="5"/>
      </w:r>
    </w:p>
    <w:p w:rsidR="002025F6" w:rsidRDefault="002025F6" w:rsidP="002025F6">
      <w:pPr>
        <w:rPr>
          <w:lang w:val="en-US"/>
        </w:rPr>
      </w:pPr>
    </w:p>
    <w:p w:rsidR="00BA208E" w:rsidRPr="00BA208E" w:rsidRDefault="00BA208E" w:rsidP="00322909">
      <w:pPr>
        <w:pStyle w:val="Opsomming1"/>
        <w:rPr>
          <w:lang w:val="en-US"/>
        </w:rPr>
      </w:pPr>
      <w:r w:rsidRPr="00BA208E">
        <w:rPr>
          <w:lang w:val="en-US"/>
        </w:rPr>
        <w:t>Olam International:</w:t>
      </w:r>
    </w:p>
    <w:p w:rsidR="00BA208E" w:rsidRDefault="00BA208E" w:rsidP="00322909">
      <w:pPr>
        <w:pStyle w:val="Opsomming3"/>
        <w:rPr>
          <w:lang w:val="en-US"/>
        </w:rPr>
      </w:pPr>
      <w:r>
        <w:rPr>
          <w:lang w:val="en-US"/>
        </w:rPr>
        <w:t xml:space="preserve">In April 2011 ABN Amro </w:t>
      </w:r>
      <w:r w:rsidRPr="009A46A4">
        <w:rPr>
          <w:lang w:val="en-US"/>
        </w:rPr>
        <w:t xml:space="preserve">participated in a syndicated </w:t>
      </w:r>
      <w:r>
        <w:rPr>
          <w:lang w:val="en-US"/>
        </w:rPr>
        <w:t>loan</w:t>
      </w:r>
      <w:r w:rsidRPr="009A46A4">
        <w:rPr>
          <w:lang w:val="en-US"/>
        </w:rPr>
        <w:t xml:space="preserve"> facility for </w:t>
      </w:r>
      <w:r>
        <w:rPr>
          <w:lang w:val="en-US"/>
        </w:rPr>
        <w:t>Olam International</w:t>
      </w:r>
      <w:r w:rsidRPr="009A46A4">
        <w:rPr>
          <w:lang w:val="en-US"/>
        </w:rPr>
        <w:t xml:space="preserve">. The total value of the facility was US$ </w:t>
      </w:r>
      <w:r>
        <w:rPr>
          <w:lang w:val="en-US"/>
        </w:rPr>
        <w:t>1,250</w:t>
      </w:r>
      <w:r w:rsidRPr="009A46A4">
        <w:rPr>
          <w:lang w:val="en-US"/>
        </w:rPr>
        <w:t xml:space="preserve"> million (€ </w:t>
      </w:r>
      <w:r>
        <w:rPr>
          <w:lang w:val="en-US"/>
        </w:rPr>
        <w:t>877</w:t>
      </w:r>
      <w:r w:rsidRPr="009A46A4">
        <w:rPr>
          <w:lang w:val="en-US"/>
        </w:rPr>
        <w:t xml:space="preserve"> million)</w:t>
      </w:r>
      <w:r>
        <w:rPr>
          <w:lang w:val="en-US"/>
        </w:rPr>
        <w:t>, consisting of an three-year loan of US$ 625 million and a five-year loan of US$ 625 million</w:t>
      </w:r>
      <w:r w:rsidRPr="009A46A4">
        <w:rPr>
          <w:lang w:val="en-US"/>
        </w:rPr>
        <w:t xml:space="preserve">. </w:t>
      </w:r>
      <w:r>
        <w:rPr>
          <w:lang w:val="en-US"/>
        </w:rPr>
        <w:t>The banking syndicate consisted of 32</w:t>
      </w:r>
      <w:r w:rsidRPr="009A46A4">
        <w:rPr>
          <w:lang w:val="en-US"/>
        </w:rPr>
        <w:t xml:space="preserve"> banks. The facility was initiated </w:t>
      </w:r>
      <w:r w:rsidR="000446BF">
        <w:rPr>
          <w:lang w:val="en-US"/>
        </w:rPr>
        <w:t>for general corporate purposes</w:t>
      </w:r>
      <w:r>
        <w:rPr>
          <w:lang w:val="en-US"/>
        </w:rPr>
        <w:t>, working capital and refinancing of bank debt</w:t>
      </w:r>
      <w:r w:rsidRPr="009A46A4">
        <w:rPr>
          <w:lang w:val="en-US"/>
        </w:rPr>
        <w:t>.</w:t>
      </w:r>
      <w:r>
        <w:rPr>
          <w:lang w:val="en-US"/>
        </w:rPr>
        <w:t xml:space="preserve"> ABN Amro committed an amount of U</w:t>
      </w:r>
      <w:r w:rsidRPr="009A46A4">
        <w:rPr>
          <w:lang w:val="en-US"/>
        </w:rPr>
        <w:t xml:space="preserve">S$ </w:t>
      </w:r>
      <w:r>
        <w:rPr>
          <w:lang w:val="en-US"/>
        </w:rPr>
        <w:t>35</w:t>
      </w:r>
      <w:r w:rsidRPr="009A46A4">
        <w:rPr>
          <w:lang w:val="en-US"/>
        </w:rPr>
        <w:t xml:space="preserve"> million (€ </w:t>
      </w:r>
      <w:r>
        <w:rPr>
          <w:lang w:val="en-US"/>
        </w:rPr>
        <w:t>25</w:t>
      </w:r>
      <w:r w:rsidRPr="009A46A4">
        <w:rPr>
          <w:lang w:val="en-US"/>
        </w:rPr>
        <w:t xml:space="preserve"> million).</w:t>
      </w:r>
      <w:r w:rsidRPr="00031898">
        <w:rPr>
          <w:rStyle w:val="EndnoteReference"/>
        </w:rPr>
        <w:endnoteReference w:id="6"/>
      </w:r>
    </w:p>
    <w:p w:rsidR="00BA208E" w:rsidRDefault="00BA208E" w:rsidP="002025F6">
      <w:pPr>
        <w:rPr>
          <w:lang w:val="en-US"/>
        </w:rPr>
      </w:pPr>
    </w:p>
    <w:p w:rsidR="00802773" w:rsidRPr="00802773" w:rsidRDefault="00802773" w:rsidP="00322909">
      <w:pPr>
        <w:pStyle w:val="Opsomming1"/>
        <w:rPr>
          <w:lang w:val="en-US"/>
        </w:rPr>
      </w:pPr>
      <w:r w:rsidRPr="00802773">
        <w:rPr>
          <w:lang w:val="en-US"/>
        </w:rPr>
        <w:t>Sucres &amp; Denrées:</w:t>
      </w:r>
    </w:p>
    <w:p w:rsidR="00802773" w:rsidRPr="009A46A4" w:rsidRDefault="00802773" w:rsidP="00322909">
      <w:pPr>
        <w:pStyle w:val="Opsomming3"/>
        <w:rPr>
          <w:lang w:val="en-US"/>
        </w:rPr>
      </w:pPr>
      <w:r>
        <w:rPr>
          <w:lang w:val="en-US"/>
        </w:rPr>
        <w:t xml:space="preserve">In August 2011 ABN Amro </w:t>
      </w:r>
      <w:r w:rsidRPr="009A46A4">
        <w:rPr>
          <w:lang w:val="en-US"/>
        </w:rPr>
        <w:t xml:space="preserve">participated in a syndicated revolving credit facility for </w:t>
      </w:r>
      <w:r>
        <w:rPr>
          <w:lang w:val="en-US"/>
        </w:rPr>
        <w:t xml:space="preserve">Sucden Americas, a subsidiary of </w:t>
      </w:r>
      <w:r w:rsidRPr="00802773">
        <w:rPr>
          <w:lang w:val="en-US"/>
        </w:rPr>
        <w:t>Sucres &amp; Denrées</w:t>
      </w:r>
      <w:r w:rsidRPr="009A46A4">
        <w:rPr>
          <w:lang w:val="en-US"/>
        </w:rPr>
        <w:t>. The total</w:t>
      </w:r>
      <w:r>
        <w:rPr>
          <w:lang w:val="en-US"/>
        </w:rPr>
        <w:t xml:space="preserve"> value of the facility was US$ 200 </w:t>
      </w:r>
      <w:r w:rsidRPr="009A46A4">
        <w:rPr>
          <w:lang w:val="en-US"/>
        </w:rPr>
        <w:t xml:space="preserve">million (€ </w:t>
      </w:r>
      <w:r>
        <w:rPr>
          <w:lang w:val="en-US"/>
        </w:rPr>
        <w:t>140</w:t>
      </w:r>
      <w:r w:rsidRPr="009A46A4">
        <w:rPr>
          <w:lang w:val="en-US"/>
        </w:rPr>
        <w:t xml:space="preserve"> million). </w:t>
      </w:r>
      <w:r>
        <w:rPr>
          <w:lang w:val="en-US"/>
        </w:rPr>
        <w:t xml:space="preserve">The banking syndicate consisted of </w:t>
      </w:r>
      <w:r w:rsidR="00B95F7C">
        <w:rPr>
          <w:lang w:val="en-US"/>
        </w:rPr>
        <w:t>nine</w:t>
      </w:r>
      <w:r w:rsidRPr="009A46A4">
        <w:rPr>
          <w:lang w:val="en-US"/>
        </w:rPr>
        <w:t xml:space="preserve"> banks</w:t>
      </w:r>
      <w:r>
        <w:rPr>
          <w:lang w:val="en-US"/>
        </w:rPr>
        <w:t xml:space="preserve"> and was led by two banks including ABN Amro</w:t>
      </w:r>
      <w:r w:rsidRPr="009A46A4">
        <w:rPr>
          <w:lang w:val="en-US"/>
        </w:rPr>
        <w:t xml:space="preserve">. The maturity date </w:t>
      </w:r>
      <w:r>
        <w:rPr>
          <w:lang w:val="en-US"/>
        </w:rPr>
        <w:t>i</w:t>
      </w:r>
      <w:r w:rsidRPr="009A46A4">
        <w:rPr>
          <w:lang w:val="en-US"/>
        </w:rPr>
        <w:t xml:space="preserve">s in </w:t>
      </w:r>
      <w:r>
        <w:rPr>
          <w:lang w:val="en-US"/>
        </w:rPr>
        <w:t>August</w:t>
      </w:r>
      <w:r w:rsidRPr="009A46A4">
        <w:rPr>
          <w:lang w:val="en-US"/>
        </w:rPr>
        <w:t xml:space="preserve"> 201</w:t>
      </w:r>
      <w:r>
        <w:rPr>
          <w:lang w:val="en-US"/>
        </w:rPr>
        <w:t>4</w:t>
      </w:r>
      <w:r w:rsidRPr="009A46A4">
        <w:rPr>
          <w:lang w:val="en-US"/>
        </w:rPr>
        <w:t xml:space="preserve">. The facility was initiated </w:t>
      </w:r>
      <w:r w:rsidR="000446BF">
        <w:rPr>
          <w:lang w:val="en-US"/>
        </w:rPr>
        <w:t>for general corporate purposes</w:t>
      </w:r>
      <w:r w:rsidRPr="009A46A4">
        <w:rPr>
          <w:lang w:val="en-US"/>
        </w:rPr>
        <w:t xml:space="preserve">. </w:t>
      </w:r>
      <w:r>
        <w:rPr>
          <w:lang w:val="en-US"/>
        </w:rPr>
        <w:t>ABN Amro’s share is estimated at U</w:t>
      </w:r>
      <w:r w:rsidRPr="009A46A4">
        <w:rPr>
          <w:lang w:val="en-US"/>
        </w:rPr>
        <w:t xml:space="preserve">S$ </w:t>
      </w:r>
      <w:r w:rsidR="004C72E6">
        <w:rPr>
          <w:lang w:val="en-US"/>
        </w:rPr>
        <w:t>67</w:t>
      </w:r>
      <w:r w:rsidRPr="009A46A4">
        <w:rPr>
          <w:lang w:val="en-US"/>
        </w:rPr>
        <w:t xml:space="preserve"> million (€ </w:t>
      </w:r>
      <w:r w:rsidR="004C72E6">
        <w:rPr>
          <w:lang w:val="en-US"/>
        </w:rPr>
        <w:t>47</w:t>
      </w:r>
      <w:r w:rsidRPr="009A46A4">
        <w:rPr>
          <w:lang w:val="en-US"/>
        </w:rPr>
        <w:t xml:space="preserve"> million).</w:t>
      </w:r>
      <w:r w:rsidRPr="00031898">
        <w:rPr>
          <w:rStyle w:val="EndnoteReference"/>
        </w:rPr>
        <w:endnoteReference w:id="7"/>
      </w:r>
    </w:p>
    <w:p w:rsidR="00802773" w:rsidRDefault="00802773" w:rsidP="002025F6">
      <w:pPr>
        <w:rPr>
          <w:lang w:val="en-US"/>
        </w:rPr>
      </w:pPr>
    </w:p>
    <w:p w:rsidR="002025F6" w:rsidRDefault="002025F6" w:rsidP="002025F6">
      <w:pPr>
        <w:rPr>
          <w:lang w:val="en-US"/>
        </w:rPr>
      </w:pPr>
    </w:p>
    <w:p w:rsidR="002025F6" w:rsidRDefault="002025F6" w:rsidP="002025F6">
      <w:pPr>
        <w:rPr>
          <w:lang w:val="en-US"/>
        </w:rPr>
      </w:pPr>
    </w:p>
    <w:p w:rsidR="002025F6" w:rsidRPr="002025F6" w:rsidRDefault="002025F6" w:rsidP="002025F6">
      <w:pPr>
        <w:rPr>
          <w:lang w:val="en-US"/>
        </w:rPr>
      </w:pPr>
    </w:p>
    <w:p w:rsidR="00144FE5" w:rsidRDefault="00144FE5">
      <w:pPr>
        <w:keepLines w:val="0"/>
        <w:rPr>
          <w:lang w:val="en-US"/>
        </w:rPr>
      </w:pPr>
      <w:r>
        <w:rPr>
          <w:lang w:val="en-US"/>
        </w:rPr>
        <w:br w:type="page"/>
      </w:r>
    </w:p>
    <w:p w:rsidR="00144FE5" w:rsidRPr="00546F0A" w:rsidRDefault="00144FE5" w:rsidP="00144FE5">
      <w:pPr>
        <w:pStyle w:val="Heading1"/>
        <w:rPr>
          <w:lang w:val="en-US"/>
        </w:rPr>
      </w:pPr>
      <w:bookmarkStart w:id="20" w:name="_Toc365554337"/>
      <w:r>
        <w:rPr>
          <w:lang w:val="en-US"/>
        </w:rPr>
        <w:lastRenderedPageBreak/>
        <w:t>ABP</w:t>
      </w:r>
      <w:bookmarkEnd w:id="20"/>
    </w:p>
    <w:p w:rsidR="00144FE5" w:rsidRPr="00546F0A" w:rsidRDefault="00144FE5" w:rsidP="00144FE5">
      <w:pPr>
        <w:pStyle w:val="Heading2"/>
        <w:rPr>
          <w:lang w:val="en-US"/>
        </w:rPr>
      </w:pPr>
      <w:bookmarkStart w:id="21" w:name="_Toc365554338"/>
      <w:r>
        <w:rPr>
          <w:lang w:val="en-US"/>
        </w:rPr>
        <w:t>Shareholdings</w:t>
      </w:r>
      <w:bookmarkEnd w:id="21"/>
    </w:p>
    <w:p w:rsidR="009B6037" w:rsidRDefault="00E55126" w:rsidP="009B6037">
      <w:pPr>
        <w:rPr>
          <w:lang w:val="en-US"/>
        </w:rPr>
      </w:pPr>
      <w:r>
        <w:rPr>
          <w:lang w:val="en-US"/>
        </w:rPr>
        <w:fldChar w:fldCharType="begin"/>
      </w:r>
      <w:r w:rsidR="009B6037">
        <w:rPr>
          <w:lang w:val="en-US"/>
        </w:rPr>
        <w:instrText xml:space="preserve"> REF _Ref362855073 \r \h </w:instrText>
      </w:r>
      <w:r>
        <w:rPr>
          <w:lang w:val="en-US"/>
        </w:rPr>
      </w:r>
      <w:r>
        <w:rPr>
          <w:lang w:val="en-US"/>
        </w:rPr>
        <w:fldChar w:fldCharType="separate"/>
      </w:r>
      <w:r w:rsidR="00D74F7E">
        <w:rPr>
          <w:lang w:val="en-US"/>
        </w:rPr>
        <w:t>Table 3</w:t>
      </w:r>
      <w:r>
        <w:rPr>
          <w:lang w:val="en-US"/>
        </w:rPr>
        <w:fldChar w:fldCharType="end"/>
      </w:r>
      <w:r w:rsidR="009B6037">
        <w:rPr>
          <w:lang w:val="en-US"/>
        </w:rPr>
        <w:t xml:space="preserve"> </w:t>
      </w:r>
      <w:r w:rsidR="009B6037" w:rsidRPr="009B6037">
        <w:rPr>
          <w:lang w:val="en-US"/>
        </w:rPr>
        <w:t xml:space="preserve">gives an overview of all the shares of </w:t>
      </w:r>
      <w:r w:rsidR="009B6037">
        <w:rPr>
          <w:lang w:val="en-US"/>
        </w:rPr>
        <w:t>food companies</w:t>
      </w:r>
      <w:r w:rsidR="009B6037" w:rsidRPr="009B6037">
        <w:rPr>
          <w:lang w:val="en-US"/>
        </w:rPr>
        <w:t xml:space="preserve"> owned by </w:t>
      </w:r>
      <w:r w:rsidR="009B6037">
        <w:rPr>
          <w:lang w:val="en-US"/>
        </w:rPr>
        <w:t xml:space="preserve">ABP </w:t>
      </w:r>
      <w:r w:rsidR="00950B90">
        <w:rPr>
          <w:lang w:val="en-US"/>
        </w:rPr>
        <w:t>on 31 March 2013</w:t>
      </w:r>
      <w:r w:rsidR="009B6037">
        <w:rPr>
          <w:lang w:val="en-US"/>
        </w:rPr>
        <w:t>.</w:t>
      </w:r>
    </w:p>
    <w:p w:rsidR="00144FE5" w:rsidRPr="00546F0A" w:rsidRDefault="00144FE5" w:rsidP="00144FE5">
      <w:pPr>
        <w:rPr>
          <w:lang w:val="en-US"/>
        </w:rPr>
      </w:pPr>
    </w:p>
    <w:p w:rsidR="00144FE5" w:rsidRPr="00ED1F1A" w:rsidRDefault="00144FE5" w:rsidP="00144FE5">
      <w:pPr>
        <w:pStyle w:val="Tabelkop"/>
        <w:rPr>
          <w:lang w:val="en-US"/>
        </w:rPr>
      </w:pPr>
      <w:bookmarkStart w:id="22" w:name="_Ref362855073"/>
      <w:r w:rsidRPr="00ED1F1A">
        <w:rPr>
          <w:lang w:val="en-US"/>
        </w:rPr>
        <w:t xml:space="preserve">Shares owned by </w:t>
      </w:r>
      <w:r>
        <w:rPr>
          <w:lang w:val="en-US"/>
        </w:rPr>
        <w:t>ABP</w:t>
      </w:r>
      <w:r w:rsidR="00C4031A">
        <w:rPr>
          <w:lang w:val="en-US"/>
        </w:rPr>
        <w:t xml:space="preserve"> on 31 March 2013</w:t>
      </w:r>
      <w:bookmarkEnd w:id="22"/>
    </w:p>
    <w:tbl>
      <w:tblPr>
        <w:tblStyle w:val="Profundo"/>
        <w:tblW w:w="4924" w:type="dxa"/>
        <w:tblLayout w:type="fixed"/>
        <w:tblLook w:val="04A0"/>
      </w:tblPr>
      <w:tblGrid>
        <w:gridCol w:w="3520"/>
        <w:gridCol w:w="1404"/>
      </w:tblGrid>
      <w:tr w:rsidR="00C4031A" w:rsidRPr="0033599C" w:rsidTr="0094488D">
        <w:trPr>
          <w:cnfStyle w:val="100000000000"/>
        </w:trPr>
        <w:tc>
          <w:tcPr>
            <w:cnfStyle w:val="001000000000"/>
            <w:tcW w:w="3520" w:type="dxa"/>
          </w:tcPr>
          <w:p w:rsidR="00C4031A" w:rsidRPr="0033599C" w:rsidRDefault="0094488D" w:rsidP="009A46A4">
            <w:pPr>
              <w:pStyle w:val="Tabeltekst"/>
              <w:keepNext/>
              <w:rPr>
                <w:b w:val="0"/>
                <w:color w:val="595959" w:themeColor="text1" w:themeTint="A6"/>
              </w:rPr>
            </w:pPr>
            <w:r w:rsidRPr="0033599C">
              <w:rPr>
                <w:color w:val="595959" w:themeColor="text1" w:themeTint="A6"/>
              </w:rPr>
              <w:t>Behind the Brands companies</w:t>
            </w:r>
          </w:p>
        </w:tc>
        <w:tc>
          <w:tcPr>
            <w:tcW w:w="1404" w:type="dxa"/>
          </w:tcPr>
          <w:p w:rsidR="00C4031A" w:rsidRPr="0033599C" w:rsidRDefault="00C4031A" w:rsidP="009A46A4">
            <w:pPr>
              <w:pStyle w:val="Tabeltekst"/>
              <w:keepNext/>
              <w:cnfStyle w:val="100000000000"/>
              <w:rPr>
                <w:b w:val="0"/>
                <w:color w:val="595959" w:themeColor="text1" w:themeTint="A6"/>
              </w:rPr>
            </w:pPr>
            <w:r w:rsidRPr="0033599C">
              <w:rPr>
                <w:color w:val="595959" w:themeColor="text1" w:themeTint="A6"/>
              </w:rPr>
              <w:t xml:space="preserve">Value </w:t>
            </w:r>
          </w:p>
          <w:p w:rsidR="00C4031A" w:rsidRPr="0033599C" w:rsidRDefault="00C4031A" w:rsidP="009A46A4">
            <w:pPr>
              <w:pStyle w:val="Tabeltekst"/>
              <w:keepNext/>
              <w:cnfStyle w:val="100000000000"/>
              <w:rPr>
                <w:b w:val="0"/>
                <w:color w:val="595959" w:themeColor="text1" w:themeTint="A6"/>
              </w:rPr>
            </w:pPr>
            <w:r w:rsidRPr="0033599C">
              <w:rPr>
                <w:color w:val="595959" w:themeColor="text1" w:themeTint="A6"/>
              </w:rPr>
              <w:t>(€ million)</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Associated British Foods</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47</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Coca-Cola Company</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237</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Danone</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92</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General Mills</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108</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Kellogg</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40</w:t>
            </w:r>
          </w:p>
        </w:tc>
      </w:tr>
      <w:tr w:rsidR="00C4031A" w:rsidRPr="0033599C" w:rsidTr="0094488D">
        <w:tc>
          <w:tcPr>
            <w:cnfStyle w:val="001000000000"/>
            <w:tcW w:w="3520" w:type="dxa"/>
          </w:tcPr>
          <w:p w:rsidR="00C4031A" w:rsidRPr="0033599C" w:rsidRDefault="000226F3" w:rsidP="009A46A4">
            <w:pPr>
              <w:pStyle w:val="Tabeltekst"/>
              <w:keepNext/>
              <w:rPr>
                <w:color w:val="595959" w:themeColor="text1" w:themeTint="A6"/>
              </w:rPr>
            </w:pPr>
            <w:r w:rsidRPr="0033599C">
              <w:rPr>
                <w:color w:val="595959" w:themeColor="text1" w:themeTint="A6"/>
              </w:rPr>
              <w:t>Mondelēz International</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96</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Nestlé</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1,137</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Pepsico</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244</w:t>
            </w:r>
          </w:p>
        </w:tc>
      </w:tr>
      <w:tr w:rsidR="00C4031A" w:rsidRPr="0033599C" w:rsidTr="0094488D">
        <w:tc>
          <w:tcPr>
            <w:cnfStyle w:val="001000000000"/>
            <w:tcW w:w="3520" w:type="dxa"/>
          </w:tcPr>
          <w:p w:rsidR="00C4031A" w:rsidRPr="0033599C" w:rsidRDefault="00C4031A" w:rsidP="007B244F">
            <w:pPr>
              <w:pStyle w:val="Tabeltekst"/>
              <w:keepNext/>
              <w:rPr>
                <w:color w:val="595959" w:themeColor="text1" w:themeTint="A6"/>
              </w:rPr>
            </w:pPr>
            <w:r w:rsidRPr="0033599C">
              <w:rPr>
                <w:color w:val="595959" w:themeColor="text1" w:themeTint="A6"/>
              </w:rPr>
              <w:t>Unilever NV</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436</w:t>
            </w:r>
          </w:p>
        </w:tc>
      </w:tr>
      <w:tr w:rsidR="00C4031A" w:rsidRPr="0033599C" w:rsidTr="0094488D">
        <w:tc>
          <w:tcPr>
            <w:cnfStyle w:val="001000000000"/>
            <w:tcW w:w="3520" w:type="dxa"/>
          </w:tcPr>
          <w:p w:rsidR="00C4031A" w:rsidRPr="0033599C" w:rsidRDefault="00C4031A" w:rsidP="007B244F">
            <w:pPr>
              <w:pStyle w:val="Tabeltekst"/>
              <w:keepNext/>
              <w:rPr>
                <w:color w:val="595959" w:themeColor="text1" w:themeTint="A6"/>
              </w:rPr>
            </w:pPr>
            <w:r w:rsidRPr="0033599C">
              <w:rPr>
                <w:color w:val="595959" w:themeColor="text1" w:themeTint="A6"/>
              </w:rPr>
              <w:t>Unilever PLC</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88</w:t>
            </w:r>
          </w:p>
        </w:tc>
      </w:tr>
      <w:tr w:rsidR="00C4031A" w:rsidRPr="0033599C" w:rsidTr="0094488D">
        <w:tc>
          <w:tcPr>
            <w:cnfStyle w:val="001000000000"/>
            <w:tcW w:w="3520" w:type="dxa"/>
          </w:tcPr>
          <w:p w:rsidR="00C4031A" w:rsidRPr="0033599C" w:rsidRDefault="00C4031A" w:rsidP="007B244F">
            <w:pPr>
              <w:pStyle w:val="Tabeltekst"/>
              <w:keepNext/>
              <w:rPr>
                <w:color w:val="595959" w:themeColor="text1" w:themeTint="A6"/>
              </w:rPr>
            </w:pPr>
            <w:r w:rsidRPr="0033599C">
              <w:rPr>
                <w:color w:val="595959" w:themeColor="text1" w:themeTint="A6"/>
              </w:rPr>
              <w:t>Hindustan Unilever</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35</w:t>
            </w:r>
          </w:p>
        </w:tc>
      </w:tr>
      <w:tr w:rsidR="00C4031A" w:rsidRPr="0033599C" w:rsidTr="0094488D">
        <w:tc>
          <w:tcPr>
            <w:cnfStyle w:val="001000000000"/>
            <w:tcW w:w="3520" w:type="dxa"/>
            <w:tcBorders>
              <w:bottom w:val="single" w:sz="4" w:space="0" w:color="9FCB3B"/>
            </w:tcBorders>
          </w:tcPr>
          <w:p w:rsidR="00C4031A" w:rsidRPr="0033599C" w:rsidRDefault="00C4031A" w:rsidP="007B244F">
            <w:pPr>
              <w:pStyle w:val="Tabeltekst"/>
              <w:keepNext/>
              <w:rPr>
                <w:color w:val="595959" w:themeColor="text1" w:themeTint="A6"/>
              </w:rPr>
            </w:pPr>
            <w:r w:rsidRPr="0033599C">
              <w:rPr>
                <w:color w:val="595959" w:themeColor="text1" w:themeTint="A6"/>
              </w:rPr>
              <w:t>Unilever Indonesia</w:t>
            </w:r>
          </w:p>
        </w:tc>
        <w:tc>
          <w:tcPr>
            <w:tcW w:w="1404" w:type="dxa"/>
            <w:tcBorders>
              <w:bottom w:val="single" w:sz="4" w:space="0" w:color="9FCB3B"/>
            </w:tcBorders>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13</w:t>
            </w:r>
          </w:p>
        </w:tc>
      </w:tr>
      <w:tr w:rsidR="0094488D" w:rsidRPr="0033599C" w:rsidTr="0094488D">
        <w:tc>
          <w:tcPr>
            <w:cnfStyle w:val="001000000000"/>
            <w:tcW w:w="3520" w:type="dxa"/>
            <w:tcBorders>
              <w:top w:val="single" w:sz="4" w:space="0" w:color="9FCB3B"/>
              <w:bottom w:val="single" w:sz="4" w:space="0" w:color="9FCB3B"/>
            </w:tcBorders>
          </w:tcPr>
          <w:p w:rsidR="0094488D" w:rsidRPr="0033599C" w:rsidRDefault="0094488D" w:rsidP="009A46A4">
            <w:pPr>
              <w:pStyle w:val="Tabeltekst"/>
              <w:keepNext/>
              <w:rPr>
                <w:b/>
                <w:color w:val="595959" w:themeColor="text1" w:themeTint="A6"/>
              </w:rPr>
            </w:pPr>
            <w:r w:rsidRPr="0033599C">
              <w:rPr>
                <w:b/>
                <w:color w:val="595959" w:themeColor="text1" w:themeTint="A6"/>
              </w:rPr>
              <w:t>Palm oil, sugar and soy traders</w:t>
            </w:r>
          </w:p>
        </w:tc>
        <w:tc>
          <w:tcPr>
            <w:tcW w:w="1404" w:type="dxa"/>
            <w:tcBorders>
              <w:top w:val="single" w:sz="4" w:space="0" w:color="9FCB3B"/>
              <w:bottom w:val="single" w:sz="4" w:space="0" w:color="9FCB3B"/>
            </w:tcBorders>
          </w:tcPr>
          <w:p w:rsidR="0094488D" w:rsidRPr="0033599C" w:rsidRDefault="0094488D" w:rsidP="0094488D">
            <w:pPr>
              <w:keepNext/>
              <w:cnfStyle w:val="000000000000"/>
              <w:rPr>
                <w:b/>
                <w:color w:val="595959" w:themeColor="text1" w:themeTint="A6"/>
                <w:sz w:val="20"/>
                <w:szCs w:val="20"/>
              </w:rPr>
            </w:pPr>
            <w:r w:rsidRPr="0033599C">
              <w:rPr>
                <w:b/>
                <w:color w:val="595959" w:themeColor="text1" w:themeTint="A6"/>
                <w:sz w:val="20"/>
                <w:szCs w:val="20"/>
              </w:rPr>
              <w:t xml:space="preserve">Value </w:t>
            </w:r>
          </w:p>
          <w:p w:rsidR="0094488D" w:rsidRPr="0033599C" w:rsidRDefault="0094488D" w:rsidP="0094488D">
            <w:pPr>
              <w:keepNext/>
              <w:cnfStyle w:val="000000000000"/>
              <w:rPr>
                <w:b/>
                <w:color w:val="595959" w:themeColor="text1" w:themeTint="A6"/>
                <w:sz w:val="20"/>
                <w:szCs w:val="20"/>
              </w:rPr>
            </w:pPr>
            <w:r w:rsidRPr="0033599C">
              <w:rPr>
                <w:b/>
                <w:color w:val="595959" w:themeColor="text1" w:themeTint="A6"/>
                <w:sz w:val="20"/>
                <w:szCs w:val="20"/>
              </w:rPr>
              <w:t>(€ million)</w:t>
            </w:r>
          </w:p>
        </w:tc>
      </w:tr>
      <w:tr w:rsidR="00C4031A" w:rsidRPr="0033599C" w:rsidTr="0094488D">
        <w:tc>
          <w:tcPr>
            <w:cnfStyle w:val="001000000000"/>
            <w:tcW w:w="3520" w:type="dxa"/>
            <w:tcBorders>
              <w:top w:val="single" w:sz="4" w:space="0" w:color="9FCB3B"/>
            </w:tcBorders>
          </w:tcPr>
          <w:p w:rsidR="00C4031A" w:rsidRPr="0033599C" w:rsidRDefault="00C4031A" w:rsidP="009A46A4">
            <w:pPr>
              <w:pStyle w:val="Tabeltekst"/>
              <w:keepNext/>
              <w:rPr>
                <w:color w:val="595959" w:themeColor="text1" w:themeTint="A6"/>
              </w:rPr>
            </w:pPr>
            <w:r w:rsidRPr="0033599C">
              <w:rPr>
                <w:color w:val="595959" w:themeColor="text1" w:themeTint="A6"/>
              </w:rPr>
              <w:t>Archer Daniels Midland</w:t>
            </w:r>
          </w:p>
        </w:tc>
        <w:tc>
          <w:tcPr>
            <w:tcW w:w="1404" w:type="dxa"/>
            <w:tcBorders>
              <w:top w:val="single" w:sz="4" w:space="0" w:color="9FCB3B"/>
            </w:tcBorders>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34</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Bunge</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50</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Olam International</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3</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Sime Darby</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15</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Tate &amp; Lyle</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12</w:t>
            </w:r>
          </w:p>
        </w:tc>
      </w:tr>
      <w:tr w:rsidR="00C4031A" w:rsidRPr="0033599C" w:rsidTr="0094488D">
        <w:tc>
          <w:tcPr>
            <w:cnfStyle w:val="001000000000"/>
            <w:tcW w:w="3520" w:type="dxa"/>
          </w:tcPr>
          <w:p w:rsidR="00C4031A" w:rsidRPr="0033599C" w:rsidRDefault="00C4031A" w:rsidP="009A46A4">
            <w:pPr>
              <w:pStyle w:val="Tabeltekst"/>
              <w:keepNext/>
              <w:rPr>
                <w:color w:val="595959" w:themeColor="text1" w:themeTint="A6"/>
              </w:rPr>
            </w:pPr>
            <w:r w:rsidRPr="0033599C">
              <w:rPr>
                <w:color w:val="595959" w:themeColor="text1" w:themeTint="A6"/>
              </w:rPr>
              <w:t>Wilmar International</w:t>
            </w:r>
          </w:p>
        </w:tc>
        <w:tc>
          <w:tcPr>
            <w:tcW w:w="1404" w:type="dxa"/>
          </w:tcPr>
          <w:p w:rsidR="00C4031A" w:rsidRPr="0033599C" w:rsidRDefault="00C4031A" w:rsidP="009A46A4">
            <w:pPr>
              <w:keepNext/>
              <w:cnfStyle w:val="000000000000"/>
              <w:rPr>
                <w:color w:val="595959" w:themeColor="text1" w:themeTint="A6"/>
                <w:sz w:val="20"/>
                <w:szCs w:val="20"/>
              </w:rPr>
            </w:pPr>
            <w:r w:rsidRPr="0033599C">
              <w:rPr>
                <w:color w:val="595959" w:themeColor="text1" w:themeTint="A6"/>
                <w:sz w:val="20"/>
                <w:szCs w:val="20"/>
              </w:rPr>
              <w:t>9</w:t>
            </w:r>
          </w:p>
        </w:tc>
      </w:tr>
    </w:tbl>
    <w:p w:rsidR="00144FE5" w:rsidRPr="00144FE5" w:rsidRDefault="00144FE5" w:rsidP="00144FE5">
      <w:pPr>
        <w:pStyle w:val="Tabelbron"/>
        <w:rPr>
          <w:lang w:val="en-US"/>
        </w:rPr>
      </w:pPr>
      <w:r w:rsidRPr="00144FE5">
        <w:rPr>
          <w:lang w:val="en-US"/>
        </w:rPr>
        <w:t xml:space="preserve">Source: ABP, “Beursgenoteerde beleggingen van ABP - Aandelen &amp; Converteerbare obligaties”, </w:t>
      </w:r>
      <w:r w:rsidRPr="00144FE5">
        <w:rPr>
          <w:i/>
          <w:lang w:val="en-US"/>
        </w:rPr>
        <w:t>ABP</w:t>
      </w:r>
      <w:r w:rsidRPr="00144FE5">
        <w:rPr>
          <w:lang w:val="en-US"/>
        </w:rPr>
        <w:t>, June 201</w:t>
      </w:r>
      <w:r w:rsidR="00C4031A">
        <w:rPr>
          <w:lang w:val="en-US"/>
        </w:rPr>
        <w:t>3</w:t>
      </w:r>
      <w:r w:rsidRPr="00144FE5">
        <w:rPr>
          <w:lang w:val="en-US"/>
        </w:rPr>
        <w:t>, available on www.abp.nl/images/01.0021.13.2-WTK-aandelenNL_tcm160-140890.pdf.</w:t>
      </w:r>
    </w:p>
    <w:p w:rsidR="00144FE5" w:rsidRPr="00144FE5" w:rsidRDefault="00144FE5" w:rsidP="00144FE5">
      <w:pPr>
        <w:rPr>
          <w:lang w:val="en-US"/>
        </w:rPr>
      </w:pPr>
    </w:p>
    <w:p w:rsidR="00144FE5" w:rsidRPr="00546F0A" w:rsidRDefault="00144FE5" w:rsidP="00144FE5">
      <w:pPr>
        <w:pStyle w:val="Heading2"/>
        <w:rPr>
          <w:lang w:val="en-US"/>
        </w:rPr>
      </w:pPr>
      <w:bookmarkStart w:id="23" w:name="_Toc365554339"/>
      <w:r>
        <w:rPr>
          <w:lang w:val="en-US"/>
        </w:rPr>
        <w:t>Share issuances</w:t>
      </w:r>
      <w:bookmarkEnd w:id="23"/>
    </w:p>
    <w:p w:rsidR="00FC5868" w:rsidRDefault="00E234B0" w:rsidP="00FC5868">
      <w:r>
        <w:t>Pension funds such as ABP are not involved in the management and underwriting of share issuances</w:t>
      </w:r>
      <w:r w:rsidR="00FC5868">
        <w:t>.</w:t>
      </w:r>
    </w:p>
    <w:p w:rsidR="00144FE5" w:rsidRPr="00FC5868" w:rsidRDefault="00144FE5" w:rsidP="00144FE5"/>
    <w:p w:rsidR="00144FE5" w:rsidRDefault="00144FE5" w:rsidP="00144FE5">
      <w:pPr>
        <w:pStyle w:val="Heading2"/>
        <w:rPr>
          <w:lang w:val="en-US"/>
        </w:rPr>
      </w:pPr>
      <w:bookmarkStart w:id="24" w:name="_Toc365554340"/>
      <w:r>
        <w:rPr>
          <w:lang w:val="en-US"/>
        </w:rPr>
        <w:t>Bondholdings</w:t>
      </w:r>
      <w:bookmarkEnd w:id="24"/>
    </w:p>
    <w:p w:rsidR="000C3229" w:rsidRPr="000C3229" w:rsidRDefault="000F06A5" w:rsidP="000C3229">
      <w:pPr>
        <w:rPr>
          <w:lang w:val="en-US"/>
        </w:rPr>
      </w:pPr>
      <w:r w:rsidRPr="00C25ADD">
        <w:t>No information was found on</w:t>
      </w:r>
      <w:r>
        <w:t xml:space="preserve"> bondholdings by ABP </w:t>
      </w:r>
      <w:r w:rsidR="00107D5D">
        <w:t>of</w:t>
      </w:r>
      <w:r w:rsidR="009E7E72">
        <w:t xml:space="preserve"> bonds issued by </w:t>
      </w:r>
      <w:r>
        <w:t>the selected food companies.</w:t>
      </w:r>
    </w:p>
    <w:p w:rsidR="00144FE5" w:rsidRDefault="00144FE5" w:rsidP="00144FE5">
      <w:pPr>
        <w:rPr>
          <w:lang w:val="en-US"/>
        </w:rPr>
      </w:pPr>
    </w:p>
    <w:p w:rsidR="00144FE5" w:rsidRDefault="00144FE5" w:rsidP="00144FE5">
      <w:pPr>
        <w:pStyle w:val="Heading2"/>
        <w:rPr>
          <w:lang w:val="en-US"/>
        </w:rPr>
      </w:pPr>
      <w:bookmarkStart w:id="25" w:name="_Toc365554341"/>
      <w:r>
        <w:rPr>
          <w:lang w:val="en-US"/>
        </w:rPr>
        <w:lastRenderedPageBreak/>
        <w:t>Bond issuances</w:t>
      </w:r>
      <w:bookmarkEnd w:id="25"/>
    </w:p>
    <w:p w:rsidR="00E234B0" w:rsidRDefault="00E234B0" w:rsidP="00E234B0">
      <w:r>
        <w:t>Pension funds such as ABP are not involved in the management and underwriting of bond issuances.</w:t>
      </w:r>
    </w:p>
    <w:p w:rsidR="00144FE5" w:rsidRPr="00E234B0" w:rsidRDefault="00144FE5" w:rsidP="00144FE5"/>
    <w:p w:rsidR="00144FE5" w:rsidRPr="00ED1F1A" w:rsidRDefault="00144FE5" w:rsidP="00144FE5">
      <w:pPr>
        <w:pStyle w:val="Heading2"/>
        <w:rPr>
          <w:lang w:val="en-US"/>
        </w:rPr>
      </w:pPr>
      <w:bookmarkStart w:id="26" w:name="_Toc365554342"/>
      <w:r>
        <w:rPr>
          <w:lang w:val="en-US"/>
        </w:rPr>
        <w:t>Loans</w:t>
      </w:r>
      <w:bookmarkEnd w:id="26"/>
    </w:p>
    <w:p w:rsidR="00CB18AB" w:rsidRDefault="00CB18AB" w:rsidP="00CB18AB">
      <w:r>
        <w:t>Pension funds such as ABP are not involved in providing loans to companies.</w:t>
      </w:r>
    </w:p>
    <w:p w:rsidR="00985FAF" w:rsidRDefault="00985FAF" w:rsidP="00144FE5">
      <w:pPr>
        <w:rPr>
          <w:lang w:val="en-US"/>
        </w:rPr>
      </w:pPr>
    </w:p>
    <w:p w:rsidR="00985FAF" w:rsidRDefault="00985FAF">
      <w:pPr>
        <w:keepLines w:val="0"/>
        <w:rPr>
          <w:lang w:val="en-US"/>
        </w:rPr>
      </w:pPr>
      <w:r>
        <w:rPr>
          <w:lang w:val="en-US"/>
        </w:rPr>
        <w:br w:type="page"/>
      </w:r>
    </w:p>
    <w:p w:rsidR="00985FAF" w:rsidRPr="00546F0A" w:rsidRDefault="00985FAF" w:rsidP="00985FAF">
      <w:pPr>
        <w:pStyle w:val="Heading1"/>
        <w:rPr>
          <w:lang w:val="en-US"/>
        </w:rPr>
      </w:pPr>
      <w:bookmarkStart w:id="27" w:name="_Toc365554343"/>
      <w:r>
        <w:rPr>
          <w:lang w:val="en-US"/>
        </w:rPr>
        <w:lastRenderedPageBreak/>
        <w:t>Aegon</w:t>
      </w:r>
      <w:bookmarkEnd w:id="27"/>
    </w:p>
    <w:p w:rsidR="00985FAF" w:rsidRPr="00546F0A" w:rsidRDefault="00985FAF" w:rsidP="00985FAF">
      <w:pPr>
        <w:pStyle w:val="Heading2"/>
        <w:rPr>
          <w:lang w:val="en-US"/>
        </w:rPr>
      </w:pPr>
      <w:bookmarkStart w:id="28" w:name="_Toc365554344"/>
      <w:r>
        <w:rPr>
          <w:lang w:val="en-US"/>
        </w:rPr>
        <w:t>Shareholdings</w:t>
      </w:r>
      <w:bookmarkEnd w:id="28"/>
    </w:p>
    <w:p w:rsidR="009B6037" w:rsidRDefault="00E55126" w:rsidP="009B6037">
      <w:pPr>
        <w:rPr>
          <w:lang w:val="en-US"/>
        </w:rPr>
      </w:pPr>
      <w:r>
        <w:rPr>
          <w:lang w:val="en-US"/>
        </w:rPr>
        <w:fldChar w:fldCharType="begin"/>
      </w:r>
      <w:r w:rsidR="009B6037">
        <w:rPr>
          <w:lang w:val="en-US"/>
        </w:rPr>
        <w:instrText xml:space="preserve"> REF _Ref362855134 \r \h </w:instrText>
      </w:r>
      <w:r>
        <w:rPr>
          <w:lang w:val="en-US"/>
        </w:rPr>
      </w:r>
      <w:r>
        <w:rPr>
          <w:lang w:val="en-US"/>
        </w:rPr>
        <w:fldChar w:fldCharType="separate"/>
      </w:r>
      <w:r w:rsidR="00D74F7E">
        <w:rPr>
          <w:lang w:val="en-US"/>
        </w:rPr>
        <w:t>Table 4</w:t>
      </w:r>
      <w:r>
        <w:rPr>
          <w:lang w:val="en-US"/>
        </w:rPr>
        <w:fldChar w:fldCharType="end"/>
      </w:r>
      <w:r w:rsidR="009B6037">
        <w:rPr>
          <w:lang w:val="en-US"/>
        </w:rPr>
        <w:t xml:space="preserve"> </w:t>
      </w:r>
      <w:r w:rsidR="009B6037" w:rsidRPr="009B6037">
        <w:rPr>
          <w:lang w:val="en-US"/>
        </w:rPr>
        <w:t xml:space="preserve">gives an overview of all the shares of </w:t>
      </w:r>
      <w:r w:rsidR="009B6037">
        <w:rPr>
          <w:lang w:val="en-US"/>
        </w:rPr>
        <w:t>food companies</w:t>
      </w:r>
      <w:r w:rsidR="009B6037" w:rsidRPr="009B6037">
        <w:rPr>
          <w:lang w:val="en-US"/>
        </w:rPr>
        <w:t xml:space="preserve"> owned by investment funds managed by </w:t>
      </w:r>
      <w:r w:rsidR="009B6037">
        <w:rPr>
          <w:lang w:val="en-US"/>
        </w:rPr>
        <w:t>Aegon</w:t>
      </w:r>
      <w:r w:rsidR="009B6037" w:rsidRPr="009B6037">
        <w:rPr>
          <w:lang w:val="en-US"/>
        </w:rPr>
        <w:t xml:space="preserve"> and its subsidiaries as per the most recent filing date available</w:t>
      </w:r>
      <w:r w:rsidR="009B6037">
        <w:rPr>
          <w:lang w:val="en-US"/>
        </w:rPr>
        <w:t>.</w:t>
      </w:r>
    </w:p>
    <w:p w:rsidR="00985FAF" w:rsidRPr="00546F0A" w:rsidRDefault="00985FAF" w:rsidP="00985FAF">
      <w:pPr>
        <w:rPr>
          <w:lang w:val="en-US"/>
        </w:rPr>
      </w:pPr>
    </w:p>
    <w:p w:rsidR="00985FAF" w:rsidRPr="00ED1F1A" w:rsidRDefault="00985FAF" w:rsidP="007B244F">
      <w:pPr>
        <w:pStyle w:val="Tabelkop"/>
        <w:keepNext w:val="0"/>
        <w:keepLines w:val="0"/>
        <w:widowControl w:val="0"/>
        <w:rPr>
          <w:lang w:val="en-US"/>
        </w:rPr>
      </w:pPr>
      <w:bookmarkStart w:id="29" w:name="_Ref362855134"/>
      <w:r w:rsidRPr="00ED1F1A">
        <w:rPr>
          <w:lang w:val="en-US"/>
        </w:rPr>
        <w:t xml:space="preserve">Shares </w:t>
      </w:r>
      <w:r>
        <w:rPr>
          <w:lang w:val="en-US"/>
        </w:rPr>
        <w:t>managed</w:t>
      </w:r>
      <w:r w:rsidRPr="00ED1F1A">
        <w:rPr>
          <w:lang w:val="en-US"/>
        </w:rPr>
        <w:t xml:space="preserve"> by </w:t>
      </w:r>
      <w:r>
        <w:rPr>
          <w:lang w:val="en-US"/>
        </w:rPr>
        <w:t>Aegon</w:t>
      </w:r>
      <w:bookmarkEnd w:id="29"/>
    </w:p>
    <w:tbl>
      <w:tblPr>
        <w:tblStyle w:val="Profundo"/>
        <w:tblW w:w="8728" w:type="dxa"/>
        <w:tblLayout w:type="fixed"/>
        <w:tblLook w:val="04A0"/>
      </w:tblPr>
      <w:tblGrid>
        <w:gridCol w:w="2098"/>
        <w:gridCol w:w="2096"/>
        <w:gridCol w:w="1134"/>
        <w:gridCol w:w="852"/>
        <w:gridCol w:w="1274"/>
        <w:gridCol w:w="1274"/>
      </w:tblGrid>
      <w:tr w:rsidR="0033599C" w:rsidRPr="0033599C" w:rsidTr="00107D5D">
        <w:trPr>
          <w:cnfStyle w:val="100000000000"/>
          <w:tblHeader/>
        </w:trPr>
        <w:tc>
          <w:tcPr>
            <w:cnfStyle w:val="001000000000"/>
            <w:tcW w:w="2098" w:type="dxa"/>
          </w:tcPr>
          <w:p w:rsidR="00A60540" w:rsidRPr="0033599C" w:rsidRDefault="0094488D" w:rsidP="00322909">
            <w:pPr>
              <w:pStyle w:val="Tabeltekst"/>
              <w:keepLines w:val="0"/>
              <w:widowControl w:val="0"/>
              <w:rPr>
                <w:color w:val="595959" w:themeColor="text1" w:themeTint="A6"/>
              </w:rPr>
            </w:pPr>
            <w:r w:rsidRPr="0033599C">
              <w:rPr>
                <w:color w:val="595959" w:themeColor="text1" w:themeTint="A6"/>
              </w:rPr>
              <w:t>Behind the Brands companies</w:t>
            </w:r>
          </w:p>
        </w:tc>
        <w:tc>
          <w:tcPr>
            <w:tcW w:w="2096" w:type="dxa"/>
          </w:tcPr>
          <w:p w:rsidR="00A60540" w:rsidRPr="0033599C" w:rsidRDefault="00A60540" w:rsidP="00322909">
            <w:pPr>
              <w:keepLines w:val="0"/>
              <w:widowControl w:val="0"/>
              <w:jc w:val="left"/>
              <w:cnfStyle w:val="100000000000"/>
              <w:rPr>
                <w:color w:val="595959" w:themeColor="text1" w:themeTint="A6"/>
                <w:sz w:val="20"/>
                <w:szCs w:val="20"/>
              </w:rPr>
            </w:pPr>
            <w:r w:rsidRPr="0033599C">
              <w:rPr>
                <w:color w:val="595959" w:themeColor="text1" w:themeTint="A6"/>
                <w:sz w:val="20"/>
                <w:szCs w:val="20"/>
              </w:rPr>
              <w:t>Investor</w:t>
            </w:r>
          </w:p>
        </w:tc>
        <w:tc>
          <w:tcPr>
            <w:tcW w:w="1134" w:type="dxa"/>
          </w:tcPr>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Amount of shares</w:t>
            </w:r>
          </w:p>
        </w:tc>
        <w:tc>
          <w:tcPr>
            <w:tcW w:w="852" w:type="dxa"/>
          </w:tcPr>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 of all shares</w:t>
            </w:r>
          </w:p>
        </w:tc>
        <w:tc>
          <w:tcPr>
            <w:tcW w:w="1274" w:type="dxa"/>
          </w:tcPr>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 xml:space="preserve">Value </w:t>
            </w:r>
          </w:p>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 million)</w:t>
            </w:r>
          </w:p>
        </w:tc>
        <w:tc>
          <w:tcPr>
            <w:tcW w:w="1274" w:type="dxa"/>
          </w:tcPr>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Filing date</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Associated British Foods</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178,103</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0.02</w:t>
            </w:r>
          </w:p>
        </w:tc>
        <w:tc>
          <w:tcPr>
            <w:tcW w:w="1274" w:type="dxa"/>
          </w:tcPr>
          <w:p w:rsidR="007B244F" w:rsidRPr="0033599C" w:rsidRDefault="00BD0850" w:rsidP="0033599C">
            <w:pPr>
              <w:keepLines w:val="0"/>
              <w:widowControl w:val="0"/>
              <w:cnfStyle w:val="000000000000"/>
              <w:rPr>
                <w:color w:val="595959" w:themeColor="text1" w:themeTint="A6"/>
                <w:sz w:val="20"/>
                <w:szCs w:val="20"/>
              </w:rPr>
            </w:pPr>
            <w:r w:rsidRPr="0033599C">
              <w:rPr>
                <w:color w:val="595959" w:themeColor="text1" w:themeTint="A6"/>
                <w:sz w:val="20"/>
                <w:szCs w:val="20"/>
              </w:rPr>
              <w:t>3.97</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Associated British Foods</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Kames Capital</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4,056,550</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0.51</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84.19</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03-07-2013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Coca-Cola</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2,127,685</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7B244F" w:rsidRPr="0033599C" w:rsidRDefault="00BD0850" w:rsidP="0033599C">
            <w:pPr>
              <w:keepLines w:val="0"/>
              <w:widowControl w:val="0"/>
              <w:cnfStyle w:val="000000000000"/>
              <w:rPr>
                <w:color w:val="595959" w:themeColor="text1" w:themeTint="A6"/>
                <w:sz w:val="20"/>
                <w:szCs w:val="20"/>
              </w:rPr>
            </w:pPr>
            <w:r w:rsidRPr="0033599C">
              <w:rPr>
                <w:color w:val="595959" w:themeColor="text1" w:themeTint="A6"/>
                <w:sz w:val="20"/>
                <w:szCs w:val="20"/>
              </w:rPr>
              <w:t>67.10</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Coca-Cola</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Capital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41,600</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0.00</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1.29</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30-06-2013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Coca-Cola</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Transamerica Asset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338,672</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0.01</w:t>
            </w:r>
          </w:p>
        </w:tc>
        <w:tc>
          <w:tcPr>
            <w:tcW w:w="1274" w:type="dxa"/>
          </w:tcPr>
          <w:p w:rsidR="007B244F" w:rsidRPr="0033599C" w:rsidRDefault="00DE22F7" w:rsidP="0033599C">
            <w:pPr>
              <w:keepLines w:val="0"/>
              <w:widowControl w:val="0"/>
              <w:cnfStyle w:val="000000000000"/>
              <w:rPr>
                <w:color w:val="595959" w:themeColor="text1" w:themeTint="A6"/>
                <w:sz w:val="20"/>
                <w:szCs w:val="20"/>
              </w:rPr>
            </w:pPr>
            <w:r w:rsidRPr="0033599C">
              <w:rPr>
                <w:color w:val="595959" w:themeColor="text1" w:themeTint="A6"/>
                <w:sz w:val="20"/>
                <w:szCs w:val="20"/>
              </w:rPr>
              <w:t>9.15</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31-12-2011</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Coca-Cola</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Kames Capital</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360,223</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0.01</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1</w:t>
            </w:r>
            <w:r w:rsidR="00BD0850" w:rsidRPr="0033599C">
              <w:rPr>
                <w:color w:val="595959" w:themeColor="text1" w:themeTint="A6"/>
                <w:sz w:val="20"/>
                <w:szCs w:val="20"/>
              </w:rPr>
              <w:t>1</w:t>
            </w:r>
            <w:r w:rsidRPr="0033599C">
              <w:rPr>
                <w:color w:val="595959" w:themeColor="text1" w:themeTint="A6"/>
                <w:sz w:val="20"/>
                <w:szCs w:val="20"/>
              </w:rPr>
              <w:t>.</w:t>
            </w:r>
            <w:r w:rsidR="00BD0850" w:rsidRPr="0033599C">
              <w:rPr>
                <w:color w:val="595959" w:themeColor="text1" w:themeTint="A6"/>
                <w:sz w:val="20"/>
                <w:szCs w:val="20"/>
              </w:rPr>
              <w:t>36</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Danone</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307,913</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16.71</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General Mills</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336,381</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12.93</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Kellogg</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130,175</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6.54</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Mondelēz International</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882,975</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21.10</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Nestlé</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1,617,155</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91.21</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Nestlé</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Kames Capital</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73,037</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0.00</w:t>
            </w:r>
          </w:p>
        </w:tc>
        <w:tc>
          <w:tcPr>
            <w:tcW w:w="1274" w:type="dxa"/>
          </w:tcPr>
          <w:p w:rsidR="007B244F" w:rsidRPr="0033599C" w:rsidRDefault="00DE22F7" w:rsidP="0033599C">
            <w:pPr>
              <w:keepLines w:val="0"/>
              <w:widowControl w:val="0"/>
              <w:cnfStyle w:val="000000000000"/>
              <w:rPr>
                <w:color w:val="595959" w:themeColor="text1" w:themeTint="A6"/>
                <w:sz w:val="20"/>
                <w:szCs w:val="20"/>
              </w:rPr>
            </w:pPr>
            <w:r w:rsidRPr="0033599C">
              <w:rPr>
                <w:color w:val="595959" w:themeColor="text1" w:themeTint="A6"/>
                <w:sz w:val="20"/>
                <w:szCs w:val="20"/>
              </w:rPr>
              <w:t>3.97</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30-04-2013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PepsiCo</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815,019</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50.27</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Unilever PLC</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644,594</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21.08</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 xml:space="preserve">31-03-2013 </w:t>
            </w:r>
          </w:p>
        </w:tc>
      </w:tr>
      <w:tr w:rsidR="0033599C" w:rsidRPr="0033599C" w:rsidTr="0094488D">
        <w:tc>
          <w:tcPr>
            <w:cnfStyle w:val="001000000000"/>
            <w:tcW w:w="2098" w:type="dxa"/>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Unilever PLC</w:t>
            </w:r>
          </w:p>
        </w:tc>
        <w:tc>
          <w:tcPr>
            <w:tcW w:w="2096" w:type="dxa"/>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Kames Capital</w:t>
            </w:r>
          </w:p>
        </w:tc>
        <w:tc>
          <w:tcPr>
            <w:tcW w:w="113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3,065,745</w:t>
            </w:r>
          </w:p>
        </w:tc>
        <w:tc>
          <w:tcPr>
            <w:tcW w:w="852"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0.24</w:t>
            </w:r>
          </w:p>
        </w:tc>
        <w:tc>
          <w:tcPr>
            <w:tcW w:w="1274" w:type="dxa"/>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97.03</w:t>
            </w:r>
          </w:p>
        </w:tc>
        <w:tc>
          <w:tcPr>
            <w:tcW w:w="1274" w:type="dxa"/>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01-07-2013</w:t>
            </w:r>
          </w:p>
        </w:tc>
      </w:tr>
      <w:tr w:rsidR="0033599C" w:rsidRPr="0033599C" w:rsidTr="0094488D">
        <w:tc>
          <w:tcPr>
            <w:cnfStyle w:val="001000000000"/>
            <w:tcW w:w="2098" w:type="dxa"/>
            <w:tcBorders>
              <w:bottom w:val="single" w:sz="4" w:space="0" w:color="9FCB3B"/>
            </w:tcBorders>
          </w:tcPr>
          <w:p w:rsidR="007B244F" w:rsidRPr="0033599C" w:rsidRDefault="007B244F" w:rsidP="00322909">
            <w:pPr>
              <w:pStyle w:val="Tabeltekst"/>
              <w:keepLines w:val="0"/>
              <w:widowControl w:val="0"/>
              <w:rPr>
                <w:color w:val="595959" w:themeColor="text1" w:themeTint="A6"/>
              </w:rPr>
            </w:pPr>
            <w:r w:rsidRPr="0033599C">
              <w:rPr>
                <w:color w:val="595959" w:themeColor="text1" w:themeTint="A6"/>
              </w:rPr>
              <w:t>Hindustan Unilever</w:t>
            </w:r>
          </w:p>
        </w:tc>
        <w:tc>
          <w:tcPr>
            <w:tcW w:w="2096" w:type="dxa"/>
            <w:tcBorders>
              <w:bottom w:val="single" w:sz="4" w:space="0" w:color="9FCB3B"/>
            </w:tcBorders>
          </w:tcPr>
          <w:p w:rsidR="007B244F"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Borders>
              <w:bottom w:val="single" w:sz="4" w:space="0" w:color="9FCB3B"/>
            </w:tcBorders>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271,672</w:t>
            </w:r>
          </w:p>
        </w:tc>
        <w:tc>
          <w:tcPr>
            <w:tcW w:w="852" w:type="dxa"/>
            <w:tcBorders>
              <w:bottom w:val="single" w:sz="4" w:space="0" w:color="9FCB3B"/>
            </w:tcBorders>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0.01</w:t>
            </w:r>
          </w:p>
        </w:tc>
        <w:tc>
          <w:tcPr>
            <w:tcW w:w="1274" w:type="dxa"/>
            <w:tcBorders>
              <w:bottom w:val="single" w:sz="4" w:space="0" w:color="9FCB3B"/>
            </w:tcBorders>
          </w:tcPr>
          <w:p w:rsidR="007B244F"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1.83</w:t>
            </w:r>
          </w:p>
        </w:tc>
        <w:tc>
          <w:tcPr>
            <w:tcW w:w="1274" w:type="dxa"/>
            <w:tcBorders>
              <w:bottom w:val="single" w:sz="4" w:space="0" w:color="9FCB3B"/>
            </w:tcBorders>
          </w:tcPr>
          <w:p w:rsidR="007B244F"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Borders>
              <w:top w:val="single" w:sz="4" w:space="0" w:color="9FCB3B"/>
              <w:bottom w:val="single" w:sz="4" w:space="0" w:color="9FCB3B"/>
            </w:tcBorders>
          </w:tcPr>
          <w:p w:rsidR="0094488D" w:rsidRPr="0033599C" w:rsidRDefault="0094488D" w:rsidP="00322909">
            <w:pPr>
              <w:pStyle w:val="Tabeltekst"/>
              <w:keepLines w:val="0"/>
              <w:widowControl w:val="0"/>
              <w:rPr>
                <w:color w:val="595959" w:themeColor="text1" w:themeTint="A6"/>
              </w:rPr>
            </w:pPr>
            <w:r w:rsidRPr="0033599C">
              <w:rPr>
                <w:b/>
                <w:color w:val="595959" w:themeColor="text1" w:themeTint="A6"/>
              </w:rPr>
              <w:t>Palm oil, sugar and soy traders</w:t>
            </w:r>
          </w:p>
        </w:tc>
        <w:tc>
          <w:tcPr>
            <w:tcW w:w="2096" w:type="dxa"/>
            <w:tcBorders>
              <w:top w:val="single" w:sz="4" w:space="0" w:color="9FCB3B"/>
              <w:bottom w:val="single" w:sz="4" w:space="0" w:color="9FCB3B"/>
            </w:tcBorders>
          </w:tcPr>
          <w:p w:rsidR="0094488D" w:rsidRPr="0033599C" w:rsidRDefault="0094488D" w:rsidP="00322909">
            <w:pPr>
              <w:keepLines w:val="0"/>
              <w:widowControl w:val="0"/>
              <w:jc w:val="left"/>
              <w:cnfStyle w:val="000000000000"/>
              <w:rPr>
                <w:b/>
                <w:color w:val="595959" w:themeColor="text1" w:themeTint="A6"/>
                <w:sz w:val="20"/>
                <w:szCs w:val="20"/>
              </w:rPr>
            </w:pPr>
            <w:r w:rsidRPr="0033599C">
              <w:rPr>
                <w:b/>
                <w:color w:val="595959" w:themeColor="text1" w:themeTint="A6"/>
                <w:sz w:val="20"/>
                <w:szCs w:val="20"/>
              </w:rPr>
              <w:t>Investor</w:t>
            </w:r>
          </w:p>
        </w:tc>
        <w:tc>
          <w:tcPr>
            <w:tcW w:w="1134" w:type="dxa"/>
            <w:tcBorders>
              <w:top w:val="single" w:sz="4" w:space="0" w:color="9FCB3B"/>
              <w:bottom w:val="single" w:sz="4" w:space="0" w:color="9FCB3B"/>
            </w:tcBorders>
          </w:tcPr>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Amount of shares</w:t>
            </w:r>
          </w:p>
        </w:tc>
        <w:tc>
          <w:tcPr>
            <w:tcW w:w="852" w:type="dxa"/>
            <w:tcBorders>
              <w:top w:val="single" w:sz="4" w:space="0" w:color="9FCB3B"/>
              <w:bottom w:val="single" w:sz="4" w:space="0" w:color="9FCB3B"/>
            </w:tcBorders>
          </w:tcPr>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 of all shares</w:t>
            </w:r>
          </w:p>
        </w:tc>
        <w:tc>
          <w:tcPr>
            <w:tcW w:w="1274" w:type="dxa"/>
            <w:tcBorders>
              <w:top w:val="single" w:sz="4" w:space="0" w:color="9FCB3B"/>
              <w:bottom w:val="single" w:sz="4" w:space="0" w:color="9FCB3B"/>
            </w:tcBorders>
          </w:tcPr>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 xml:space="preserve">Value </w:t>
            </w:r>
          </w:p>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 million)</w:t>
            </w:r>
          </w:p>
        </w:tc>
        <w:tc>
          <w:tcPr>
            <w:tcW w:w="1274" w:type="dxa"/>
            <w:tcBorders>
              <w:top w:val="single" w:sz="4" w:space="0" w:color="9FCB3B"/>
              <w:bottom w:val="single" w:sz="4" w:space="0" w:color="9FCB3B"/>
            </w:tcBorders>
          </w:tcPr>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Filing date</w:t>
            </w:r>
          </w:p>
        </w:tc>
      </w:tr>
      <w:tr w:rsidR="0033599C" w:rsidRPr="0033599C" w:rsidTr="0094488D">
        <w:tc>
          <w:tcPr>
            <w:cnfStyle w:val="001000000000"/>
            <w:tcW w:w="2098" w:type="dxa"/>
            <w:tcBorders>
              <w:top w:val="single" w:sz="4" w:space="0" w:color="9FCB3B"/>
            </w:tcBorders>
          </w:tcPr>
          <w:p w:rsidR="00A60540" w:rsidRPr="0033599C" w:rsidRDefault="00C631D0" w:rsidP="00322909">
            <w:pPr>
              <w:pStyle w:val="Tabeltekst"/>
              <w:keepLines w:val="0"/>
              <w:widowControl w:val="0"/>
              <w:rPr>
                <w:color w:val="595959" w:themeColor="text1" w:themeTint="A6"/>
              </w:rPr>
            </w:pPr>
            <w:r w:rsidRPr="0033599C">
              <w:rPr>
                <w:color w:val="595959" w:themeColor="text1" w:themeTint="A6"/>
              </w:rPr>
              <w:t>Archer Daniels Midland</w:t>
            </w:r>
          </w:p>
        </w:tc>
        <w:tc>
          <w:tcPr>
            <w:tcW w:w="2096" w:type="dxa"/>
            <w:tcBorders>
              <w:top w:val="single" w:sz="4" w:space="0" w:color="9FCB3B"/>
            </w:tcBorders>
          </w:tcPr>
          <w:p w:rsidR="00A60540" w:rsidRPr="0033599C" w:rsidRDefault="00C631D0"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Borders>
              <w:top w:val="single" w:sz="4" w:space="0" w:color="9FCB3B"/>
            </w:tcBorders>
          </w:tcPr>
          <w:p w:rsidR="00A60540" w:rsidRPr="0033599C" w:rsidRDefault="00C631D0" w:rsidP="0033599C">
            <w:pPr>
              <w:keepLines w:val="0"/>
              <w:widowControl w:val="0"/>
              <w:cnfStyle w:val="000000000000"/>
              <w:rPr>
                <w:color w:val="595959" w:themeColor="text1" w:themeTint="A6"/>
                <w:sz w:val="20"/>
                <w:szCs w:val="20"/>
              </w:rPr>
            </w:pPr>
            <w:r w:rsidRPr="0033599C">
              <w:rPr>
                <w:color w:val="595959" w:themeColor="text1" w:themeTint="A6"/>
                <w:sz w:val="20"/>
                <w:szCs w:val="20"/>
              </w:rPr>
              <w:t>349,757</w:t>
            </w:r>
          </w:p>
        </w:tc>
        <w:tc>
          <w:tcPr>
            <w:tcW w:w="852" w:type="dxa"/>
            <w:tcBorders>
              <w:top w:val="single" w:sz="4" w:space="0" w:color="9FCB3B"/>
            </w:tcBorders>
          </w:tcPr>
          <w:p w:rsidR="00A60540" w:rsidRPr="0033599C" w:rsidRDefault="00C631D0"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Borders>
              <w:top w:val="single" w:sz="4" w:space="0" w:color="9FCB3B"/>
            </w:tcBorders>
          </w:tcPr>
          <w:p w:rsidR="00A60540"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9.20</w:t>
            </w:r>
          </w:p>
        </w:tc>
        <w:tc>
          <w:tcPr>
            <w:tcW w:w="1274" w:type="dxa"/>
            <w:tcBorders>
              <w:top w:val="single" w:sz="4" w:space="0" w:color="9FCB3B"/>
            </w:tcBorders>
          </w:tcPr>
          <w:p w:rsidR="00A60540" w:rsidRPr="0033599C" w:rsidRDefault="00A60540"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w:t>
            </w:r>
            <w:r w:rsidR="007060CD" w:rsidRPr="0033599C">
              <w:rPr>
                <w:color w:val="595959" w:themeColor="text1" w:themeTint="A6"/>
                <w:sz w:val="20"/>
                <w:szCs w:val="20"/>
              </w:rPr>
              <w:t>20</w:t>
            </w:r>
            <w:r w:rsidRPr="0033599C">
              <w:rPr>
                <w:color w:val="595959" w:themeColor="text1" w:themeTint="A6"/>
                <w:sz w:val="20"/>
                <w:szCs w:val="20"/>
              </w:rPr>
              <w:t>13</w:t>
            </w:r>
          </w:p>
        </w:tc>
      </w:tr>
      <w:tr w:rsidR="0033599C" w:rsidRPr="0033599C" w:rsidTr="0094488D">
        <w:tc>
          <w:tcPr>
            <w:cnfStyle w:val="001000000000"/>
            <w:tcW w:w="2098" w:type="dxa"/>
          </w:tcPr>
          <w:p w:rsidR="00C631D0" w:rsidRPr="0033599C" w:rsidRDefault="00C631D0" w:rsidP="00322909">
            <w:pPr>
              <w:pStyle w:val="Tabeltekst"/>
              <w:keepLines w:val="0"/>
              <w:widowControl w:val="0"/>
              <w:rPr>
                <w:color w:val="595959" w:themeColor="text1" w:themeTint="A6"/>
              </w:rPr>
            </w:pPr>
            <w:r w:rsidRPr="0033599C">
              <w:rPr>
                <w:color w:val="595959" w:themeColor="text1" w:themeTint="A6"/>
              </w:rPr>
              <w:t>Bunge</w:t>
            </w:r>
          </w:p>
        </w:tc>
        <w:tc>
          <w:tcPr>
            <w:tcW w:w="2096" w:type="dxa"/>
          </w:tcPr>
          <w:p w:rsidR="00C631D0" w:rsidRPr="0033599C" w:rsidRDefault="00C631D0"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C631D0" w:rsidRPr="0033599C" w:rsidRDefault="00C631D0" w:rsidP="0033599C">
            <w:pPr>
              <w:keepLines w:val="0"/>
              <w:widowControl w:val="0"/>
              <w:cnfStyle w:val="000000000000"/>
              <w:rPr>
                <w:color w:val="595959" w:themeColor="text1" w:themeTint="A6"/>
                <w:sz w:val="20"/>
                <w:szCs w:val="20"/>
              </w:rPr>
            </w:pPr>
            <w:r w:rsidRPr="0033599C">
              <w:rPr>
                <w:color w:val="595959" w:themeColor="text1" w:themeTint="A6"/>
                <w:sz w:val="20"/>
                <w:szCs w:val="20"/>
              </w:rPr>
              <w:t>75,826</w:t>
            </w:r>
          </w:p>
        </w:tc>
        <w:tc>
          <w:tcPr>
            <w:tcW w:w="852" w:type="dxa"/>
          </w:tcPr>
          <w:p w:rsidR="00C631D0" w:rsidRPr="0033599C" w:rsidRDefault="00C631D0"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C631D0"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4.37</w:t>
            </w:r>
          </w:p>
        </w:tc>
        <w:tc>
          <w:tcPr>
            <w:tcW w:w="1274" w:type="dxa"/>
          </w:tcPr>
          <w:p w:rsidR="00C631D0" w:rsidRPr="0033599C" w:rsidRDefault="00C631D0"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B701C1" w:rsidRPr="0033599C" w:rsidRDefault="00B701C1" w:rsidP="00322909">
            <w:pPr>
              <w:pStyle w:val="Tabeltekst"/>
              <w:keepLines w:val="0"/>
              <w:widowControl w:val="0"/>
              <w:rPr>
                <w:color w:val="595959" w:themeColor="text1" w:themeTint="A6"/>
              </w:rPr>
            </w:pPr>
            <w:r w:rsidRPr="0033599C">
              <w:rPr>
                <w:color w:val="595959" w:themeColor="text1" w:themeTint="A6"/>
              </w:rPr>
              <w:t>Sime Darby</w:t>
            </w:r>
          </w:p>
        </w:tc>
        <w:tc>
          <w:tcPr>
            <w:tcW w:w="2096" w:type="dxa"/>
          </w:tcPr>
          <w:p w:rsidR="00B701C1" w:rsidRPr="0033599C" w:rsidRDefault="00B701C1"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845,564</w:t>
            </w:r>
          </w:p>
        </w:tc>
        <w:tc>
          <w:tcPr>
            <w:tcW w:w="852"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0.01</w:t>
            </w:r>
          </w:p>
        </w:tc>
        <w:tc>
          <w:tcPr>
            <w:tcW w:w="1274" w:type="dxa"/>
          </w:tcPr>
          <w:p w:rsidR="00B701C1"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1.98</w:t>
            </w:r>
          </w:p>
        </w:tc>
        <w:tc>
          <w:tcPr>
            <w:tcW w:w="1274"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2098" w:type="dxa"/>
          </w:tcPr>
          <w:p w:rsidR="00B701C1" w:rsidRPr="0033599C" w:rsidRDefault="00B701C1" w:rsidP="00322909">
            <w:pPr>
              <w:pStyle w:val="Tabeltekst"/>
              <w:keepLines w:val="0"/>
              <w:widowControl w:val="0"/>
              <w:rPr>
                <w:color w:val="595959" w:themeColor="text1" w:themeTint="A6"/>
              </w:rPr>
            </w:pPr>
            <w:r w:rsidRPr="0033599C">
              <w:rPr>
                <w:color w:val="595959" w:themeColor="text1" w:themeTint="A6"/>
              </w:rPr>
              <w:lastRenderedPageBreak/>
              <w:t>Tate &amp; Lyle</w:t>
            </w:r>
          </w:p>
        </w:tc>
        <w:tc>
          <w:tcPr>
            <w:tcW w:w="2096" w:type="dxa"/>
          </w:tcPr>
          <w:p w:rsidR="00B701C1" w:rsidRPr="0033599C" w:rsidRDefault="00B701C1"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182,133</w:t>
            </w:r>
          </w:p>
        </w:tc>
        <w:tc>
          <w:tcPr>
            <w:tcW w:w="852"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B701C1" w:rsidRPr="0033599C" w:rsidRDefault="00DE22F7" w:rsidP="0033599C">
            <w:pPr>
              <w:keepLines w:val="0"/>
              <w:widowControl w:val="0"/>
              <w:cnfStyle w:val="000000000000"/>
              <w:rPr>
                <w:color w:val="595959" w:themeColor="text1" w:themeTint="A6"/>
                <w:sz w:val="20"/>
                <w:szCs w:val="20"/>
              </w:rPr>
            </w:pPr>
            <w:r w:rsidRPr="0033599C">
              <w:rPr>
                <w:color w:val="595959" w:themeColor="text1" w:themeTint="A6"/>
                <w:sz w:val="20"/>
                <w:szCs w:val="20"/>
              </w:rPr>
              <w:t>1.75</w:t>
            </w:r>
          </w:p>
        </w:tc>
        <w:tc>
          <w:tcPr>
            <w:tcW w:w="1274"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23-05-2013</w:t>
            </w:r>
          </w:p>
        </w:tc>
      </w:tr>
      <w:tr w:rsidR="0033599C" w:rsidRPr="0033599C" w:rsidTr="0094488D">
        <w:tc>
          <w:tcPr>
            <w:cnfStyle w:val="001000000000"/>
            <w:tcW w:w="2098" w:type="dxa"/>
          </w:tcPr>
          <w:p w:rsidR="00B701C1" w:rsidRPr="0033599C" w:rsidRDefault="00B701C1" w:rsidP="00322909">
            <w:pPr>
              <w:pStyle w:val="Tabeltekst"/>
              <w:keepLines w:val="0"/>
              <w:widowControl w:val="0"/>
              <w:rPr>
                <w:color w:val="595959" w:themeColor="text1" w:themeTint="A6"/>
              </w:rPr>
            </w:pPr>
            <w:r w:rsidRPr="0033599C">
              <w:rPr>
                <w:color w:val="595959" w:themeColor="text1" w:themeTint="A6"/>
              </w:rPr>
              <w:t>Tate &amp; Lyle</w:t>
            </w:r>
          </w:p>
        </w:tc>
        <w:tc>
          <w:tcPr>
            <w:tcW w:w="2096" w:type="dxa"/>
          </w:tcPr>
          <w:p w:rsidR="00B701C1" w:rsidRPr="0033599C" w:rsidRDefault="00B701C1" w:rsidP="00322909">
            <w:pPr>
              <w:pStyle w:val="Tabeltekst"/>
              <w:keepLines w:val="0"/>
              <w:widowControl w:val="0"/>
              <w:jc w:val="left"/>
              <w:cnfStyle w:val="000000000000"/>
              <w:rPr>
                <w:color w:val="595959" w:themeColor="text1" w:themeTint="A6"/>
              </w:rPr>
            </w:pPr>
            <w:r w:rsidRPr="0033599C">
              <w:rPr>
                <w:color w:val="595959" w:themeColor="text1" w:themeTint="A6"/>
              </w:rPr>
              <w:t>Kames Capital</w:t>
            </w:r>
          </w:p>
        </w:tc>
        <w:tc>
          <w:tcPr>
            <w:tcW w:w="1134"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13,542,548</w:t>
            </w:r>
          </w:p>
        </w:tc>
        <w:tc>
          <w:tcPr>
            <w:tcW w:w="852"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2.90</w:t>
            </w:r>
          </w:p>
        </w:tc>
        <w:tc>
          <w:tcPr>
            <w:tcW w:w="1274" w:type="dxa"/>
          </w:tcPr>
          <w:p w:rsidR="00B701C1" w:rsidRPr="0033599C" w:rsidRDefault="00DE22F7" w:rsidP="0033599C">
            <w:pPr>
              <w:keepLines w:val="0"/>
              <w:widowControl w:val="0"/>
              <w:cnfStyle w:val="000000000000"/>
              <w:rPr>
                <w:color w:val="595959" w:themeColor="text1" w:themeTint="A6"/>
                <w:sz w:val="20"/>
                <w:szCs w:val="20"/>
              </w:rPr>
            </w:pPr>
            <w:r w:rsidRPr="0033599C">
              <w:rPr>
                <w:color w:val="595959" w:themeColor="text1" w:themeTint="A6"/>
                <w:sz w:val="20"/>
                <w:szCs w:val="20"/>
              </w:rPr>
              <w:t>130.42</w:t>
            </w:r>
          </w:p>
        </w:tc>
        <w:tc>
          <w:tcPr>
            <w:tcW w:w="1274" w:type="dxa"/>
          </w:tcPr>
          <w:p w:rsidR="00B701C1" w:rsidRPr="0033599C" w:rsidRDefault="00B701C1" w:rsidP="0033599C">
            <w:pPr>
              <w:keepLines w:val="0"/>
              <w:widowControl w:val="0"/>
              <w:cnfStyle w:val="000000000000"/>
              <w:rPr>
                <w:color w:val="595959" w:themeColor="text1" w:themeTint="A6"/>
                <w:sz w:val="20"/>
                <w:szCs w:val="20"/>
              </w:rPr>
            </w:pPr>
            <w:r w:rsidRPr="0033599C">
              <w:rPr>
                <w:color w:val="595959" w:themeColor="text1" w:themeTint="A6"/>
                <w:sz w:val="20"/>
                <w:szCs w:val="20"/>
              </w:rPr>
              <w:t>22-05-2013</w:t>
            </w:r>
          </w:p>
        </w:tc>
      </w:tr>
      <w:tr w:rsidR="0033599C" w:rsidRPr="0033599C" w:rsidTr="0094488D">
        <w:tc>
          <w:tcPr>
            <w:cnfStyle w:val="001000000000"/>
            <w:tcW w:w="2098" w:type="dxa"/>
          </w:tcPr>
          <w:p w:rsidR="00B701C1" w:rsidRPr="0033599C" w:rsidRDefault="007B244F" w:rsidP="00322909">
            <w:pPr>
              <w:pStyle w:val="Tabeltekst"/>
              <w:keepLines w:val="0"/>
              <w:widowControl w:val="0"/>
              <w:rPr>
                <w:color w:val="595959" w:themeColor="text1" w:themeTint="A6"/>
              </w:rPr>
            </w:pPr>
            <w:r w:rsidRPr="0033599C">
              <w:rPr>
                <w:color w:val="595959" w:themeColor="text1" w:themeTint="A6"/>
              </w:rPr>
              <w:t>Wilmar International</w:t>
            </w:r>
          </w:p>
        </w:tc>
        <w:tc>
          <w:tcPr>
            <w:tcW w:w="2096" w:type="dxa"/>
          </w:tcPr>
          <w:p w:rsidR="00B701C1" w:rsidRPr="0033599C" w:rsidRDefault="007B244F" w:rsidP="00322909">
            <w:pPr>
              <w:pStyle w:val="Tabeltekst"/>
              <w:keepLines w:val="0"/>
              <w:widowControl w:val="0"/>
              <w:jc w:val="left"/>
              <w:cnfStyle w:val="000000000000"/>
              <w:rPr>
                <w:color w:val="595959" w:themeColor="text1" w:themeTint="A6"/>
              </w:rPr>
            </w:pPr>
            <w:r w:rsidRPr="0033599C">
              <w:rPr>
                <w:color w:val="595959" w:themeColor="text1" w:themeTint="A6"/>
              </w:rPr>
              <w:t>Aegon Investment Management</w:t>
            </w:r>
          </w:p>
        </w:tc>
        <w:tc>
          <w:tcPr>
            <w:tcW w:w="1134" w:type="dxa"/>
          </w:tcPr>
          <w:p w:rsidR="00B701C1"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1,020,758</w:t>
            </w:r>
          </w:p>
        </w:tc>
        <w:tc>
          <w:tcPr>
            <w:tcW w:w="852" w:type="dxa"/>
          </w:tcPr>
          <w:p w:rsidR="00B701C1"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0.02</w:t>
            </w:r>
          </w:p>
        </w:tc>
        <w:tc>
          <w:tcPr>
            <w:tcW w:w="1274" w:type="dxa"/>
          </w:tcPr>
          <w:p w:rsidR="00B701C1" w:rsidRPr="0033599C" w:rsidRDefault="00295A37" w:rsidP="0033599C">
            <w:pPr>
              <w:keepLines w:val="0"/>
              <w:widowControl w:val="0"/>
              <w:cnfStyle w:val="000000000000"/>
              <w:rPr>
                <w:color w:val="595959" w:themeColor="text1" w:themeTint="A6"/>
                <w:sz w:val="20"/>
                <w:szCs w:val="20"/>
              </w:rPr>
            </w:pPr>
            <w:r w:rsidRPr="0033599C">
              <w:rPr>
                <w:color w:val="595959" w:themeColor="text1" w:themeTint="A6"/>
                <w:sz w:val="20"/>
                <w:szCs w:val="20"/>
              </w:rPr>
              <w:t>2.22</w:t>
            </w:r>
          </w:p>
        </w:tc>
        <w:tc>
          <w:tcPr>
            <w:tcW w:w="1274" w:type="dxa"/>
          </w:tcPr>
          <w:p w:rsidR="00B701C1" w:rsidRPr="0033599C" w:rsidRDefault="007B244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bl>
    <w:p w:rsidR="00985FAF" w:rsidRPr="00144FE5" w:rsidRDefault="00985FAF" w:rsidP="007B244F">
      <w:pPr>
        <w:pStyle w:val="Tabelbron"/>
        <w:keepLines w:val="0"/>
        <w:rPr>
          <w:lang w:val="en-US"/>
        </w:rPr>
      </w:pPr>
      <w:r w:rsidRPr="00144FE5">
        <w:rPr>
          <w:lang w:val="en-US"/>
        </w:rPr>
        <w:t xml:space="preserve">Source: </w:t>
      </w:r>
      <w:r w:rsidRPr="00144FE5">
        <w:t xml:space="preserve">Thomson ONE Banker, “Share ownership”, Thomson ONE Banker (www.thomsonone.com), </w:t>
      </w:r>
      <w:r>
        <w:t>Viewed in August 2013</w:t>
      </w:r>
      <w:r w:rsidRPr="00144FE5">
        <w:rPr>
          <w:lang w:val="en-US"/>
        </w:rPr>
        <w:t>.</w:t>
      </w:r>
    </w:p>
    <w:p w:rsidR="00985FAF" w:rsidRPr="00144FE5" w:rsidRDefault="00985FAF" w:rsidP="00985FAF">
      <w:pPr>
        <w:rPr>
          <w:lang w:val="en-US"/>
        </w:rPr>
      </w:pPr>
    </w:p>
    <w:p w:rsidR="00985FAF" w:rsidRPr="00546F0A" w:rsidRDefault="00985FAF" w:rsidP="00985FAF">
      <w:pPr>
        <w:pStyle w:val="Heading2"/>
        <w:rPr>
          <w:lang w:val="en-US"/>
        </w:rPr>
      </w:pPr>
      <w:bookmarkStart w:id="30" w:name="_Toc365554345"/>
      <w:r>
        <w:rPr>
          <w:lang w:val="en-US"/>
        </w:rPr>
        <w:t>Share issuances</w:t>
      </w:r>
      <w:bookmarkEnd w:id="30"/>
    </w:p>
    <w:p w:rsidR="00F62A16" w:rsidRDefault="00F62A16" w:rsidP="00F62A16">
      <w:r>
        <w:t>Insurance companies such as Aegon are not involved in the management and underwriting of share issuances.</w:t>
      </w:r>
    </w:p>
    <w:p w:rsidR="00985FAF" w:rsidRPr="00FC5868" w:rsidRDefault="00985FAF" w:rsidP="00985FAF"/>
    <w:p w:rsidR="00985FAF" w:rsidRDefault="00985FAF" w:rsidP="00985FAF">
      <w:pPr>
        <w:pStyle w:val="Heading2"/>
        <w:rPr>
          <w:lang w:val="en-US"/>
        </w:rPr>
      </w:pPr>
      <w:bookmarkStart w:id="31" w:name="_Toc365554346"/>
      <w:r>
        <w:rPr>
          <w:lang w:val="en-US"/>
        </w:rPr>
        <w:t>Bondholdings</w:t>
      </w:r>
      <w:bookmarkEnd w:id="31"/>
    </w:p>
    <w:p w:rsidR="009C7232" w:rsidRDefault="00E55126" w:rsidP="009C7232">
      <w:pPr>
        <w:rPr>
          <w:lang w:val="en-US"/>
        </w:rPr>
      </w:pPr>
      <w:r>
        <w:rPr>
          <w:lang w:val="en-US"/>
        </w:rPr>
        <w:fldChar w:fldCharType="begin"/>
      </w:r>
      <w:r w:rsidR="009C7232">
        <w:rPr>
          <w:lang w:val="en-US"/>
        </w:rPr>
        <w:instrText xml:space="preserve"> REF _Ref363468481 \r \h </w:instrText>
      </w:r>
      <w:r>
        <w:rPr>
          <w:lang w:val="en-US"/>
        </w:rPr>
      </w:r>
      <w:r>
        <w:rPr>
          <w:lang w:val="en-US"/>
        </w:rPr>
        <w:fldChar w:fldCharType="separate"/>
      </w:r>
      <w:r w:rsidR="00D74F7E">
        <w:rPr>
          <w:lang w:val="en-US"/>
        </w:rPr>
        <w:t>Table 5</w:t>
      </w:r>
      <w:r>
        <w:rPr>
          <w:lang w:val="en-US"/>
        </w:rPr>
        <w:fldChar w:fldCharType="end"/>
      </w:r>
      <w:r w:rsidR="009C7232">
        <w:rPr>
          <w:lang w:val="en-US"/>
        </w:rPr>
        <w:t xml:space="preserve"> </w:t>
      </w:r>
      <w:r w:rsidR="009C7232" w:rsidRPr="009B6037">
        <w:rPr>
          <w:lang w:val="en-US"/>
        </w:rPr>
        <w:t xml:space="preserve">gives an overview of all the </w:t>
      </w:r>
      <w:r w:rsidR="009C7232">
        <w:rPr>
          <w:lang w:val="en-US"/>
        </w:rPr>
        <w:t>bonds</w:t>
      </w:r>
      <w:r w:rsidR="009C7232" w:rsidRPr="009B6037">
        <w:rPr>
          <w:lang w:val="en-US"/>
        </w:rPr>
        <w:t xml:space="preserve"> of </w:t>
      </w:r>
      <w:r w:rsidR="009C7232">
        <w:rPr>
          <w:lang w:val="en-US"/>
        </w:rPr>
        <w:t>food companies</w:t>
      </w:r>
      <w:r w:rsidR="009C7232" w:rsidRPr="009B6037">
        <w:rPr>
          <w:lang w:val="en-US"/>
        </w:rPr>
        <w:t xml:space="preserve"> owned by investment funds managed by </w:t>
      </w:r>
      <w:r w:rsidR="009C7232">
        <w:rPr>
          <w:lang w:val="en-US"/>
        </w:rPr>
        <w:t>Aegon</w:t>
      </w:r>
      <w:r w:rsidR="009C7232" w:rsidRPr="009B6037">
        <w:rPr>
          <w:lang w:val="en-US"/>
        </w:rPr>
        <w:t xml:space="preserve"> and its subsidiaries as per the most recent filing date available</w:t>
      </w:r>
      <w:r w:rsidR="009C7232">
        <w:rPr>
          <w:lang w:val="en-US"/>
        </w:rPr>
        <w:t>.</w:t>
      </w:r>
    </w:p>
    <w:p w:rsidR="009C7232" w:rsidRPr="000C3229" w:rsidRDefault="009C7232" w:rsidP="009C7232">
      <w:pPr>
        <w:rPr>
          <w:lang w:val="en-US"/>
        </w:rPr>
      </w:pPr>
    </w:p>
    <w:p w:rsidR="009C7232" w:rsidRDefault="009C7232" w:rsidP="00F778C7">
      <w:pPr>
        <w:pStyle w:val="Tabelkop"/>
        <w:keepNext w:val="0"/>
        <w:keepLines w:val="0"/>
        <w:widowControl w:val="0"/>
        <w:rPr>
          <w:lang w:val="en-US"/>
        </w:rPr>
      </w:pPr>
      <w:bookmarkStart w:id="32" w:name="_Ref363468481"/>
      <w:r>
        <w:rPr>
          <w:lang w:val="en-US"/>
        </w:rPr>
        <w:t>Bonds</w:t>
      </w:r>
      <w:r w:rsidRPr="00ED1F1A">
        <w:rPr>
          <w:lang w:val="en-US"/>
        </w:rPr>
        <w:t xml:space="preserve"> </w:t>
      </w:r>
      <w:r>
        <w:rPr>
          <w:lang w:val="en-US"/>
        </w:rPr>
        <w:t>managed</w:t>
      </w:r>
      <w:r w:rsidRPr="00ED1F1A">
        <w:rPr>
          <w:lang w:val="en-US"/>
        </w:rPr>
        <w:t xml:space="preserve"> by </w:t>
      </w:r>
      <w:bookmarkEnd w:id="32"/>
      <w:r>
        <w:rPr>
          <w:lang w:val="en-US"/>
        </w:rPr>
        <w:t>Aegon</w:t>
      </w:r>
    </w:p>
    <w:tbl>
      <w:tblPr>
        <w:tblStyle w:val="Profundo"/>
        <w:tblW w:w="8810" w:type="dxa"/>
        <w:tblLayout w:type="fixed"/>
        <w:tblLook w:val="04A0"/>
      </w:tblPr>
      <w:tblGrid>
        <w:gridCol w:w="1572"/>
        <w:gridCol w:w="3838"/>
        <w:gridCol w:w="852"/>
        <w:gridCol w:w="1274"/>
        <w:gridCol w:w="1274"/>
      </w:tblGrid>
      <w:tr w:rsidR="00DA5FC3" w:rsidRPr="00DA5FC3" w:rsidTr="00107D5D">
        <w:trPr>
          <w:cnfStyle w:val="100000000000"/>
          <w:tblHeader/>
        </w:trPr>
        <w:tc>
          <w:tcPr>
            <w:cnfStyle w:val="001000000000"/>
            <w:tcW w:w="1572" w:type="dxa"/>
          </w:tcPr>
          <w:p w:rsidR="00BD4417" w:rsidRPr="00DA5FC3" w:rsidRDefault="00BD4417" w:rsidP="00DA5FC3">
            <w:pPr>
              <w:pStyle w:val="Tabeltekst"/>
              <w:keepLines w:val="0"/>
              <w:widowControl w:val="0"/>
              <w:rPr>
                <w:b w:val="0"/>
                <w:color w:val="595959" w:themeColor="text1" w:themeTint="A6"/>
              </w:rPr>
            </w:pPr>
            <w:r w:rsidRPr="00DA5FC3">
              <w:rPr>
                <w:color w:val="595959" w:themeColor="text1" w:themeTint="A6"/>
              </w:rPr>
              <w:t>Behind the Brands companies</w:t>
            </w:r>
          </w:p>
        </w:tc>
        <w:tc>
          <w:tcPr>
            <w:tcW w:w="3838" w:type="dxa"/>
          </w:tcPr>
          <w:p w:rsidR="00BD4417" w:rsidRPr="00DA5FC3" w:rsidRDefault="00BD4417" w:rsidP="00DA5FC3">
            <w:pPr>
              <w:keepLines w:val="0"/>
              <w:widowControl w:val="0"/>
              <w:jc w:val="left"/>
              <w:cnfStyle w:val="100000000000"/>
              <w:rPr>
                <w:b w:val="0"/>
                <w:color w:val="595959" w:themeColor="text1" w:themeTint="A6"/>
                <w:sz w:val="20"/>
                <w:szCs w:val="20"/>
              </w:rPr>
            </w:pPr>
            <w:r w:rsidRPr="00DA5FC3">
              <w:rPr>
                <w:color w:val="595959" w:themeColor="text1" w:themeTint="A6"/>
                <w:sz w:val="20"/>
                <w:szCs w:val="20"/>
              </w:rPr>
              <w:t>Investor</w:t>
            </w:r>
          </w:p>
        </w:tc>
        <w:tc>
          <w:tcPr>
            <w:tcW w:w="852" w:type="dxa"/>
          </w:tcPr>
          <w:p w:rsidR="00BD4417" w:rsidRPr="00DA5FC3" w:rsidRDefault="00BD4417" w:rsidP="00DA5FC3">
            <w:pPr>
              <w:pStyle w:val="Tabeltekst"/>
              <w:keepLines w:val="0"/>
              <w:widowControl w:val="0"/>
              <w:cnfStyle w:val="100000000000"/>
              <w:rPr>
                <w:b w:val="0"/>
                <w:color w:val="595959" w:themeColor="text1" w:themeTint="A6"/>
              </w:rPr>
            </w:pPr>
            <w:r w:rsidRPr="00DA5FC3">
              <w:rPr>
                <w:color w:val="595959" w:themeColor="text1" w:themeTint="A6"/>
              </w:rPr>
              <w:t>% of all bonds</w:t>
            </w:r>
          </w:p>
        </w:tc>
        <w:tc>
          <w:tcPr>
            <w:tcW w:w="1274" w:type="dxa"/>
          </w:tcPr>
          <w:p w:rsidR="00BD4417" w:rsidRPr="00DA5FC3" w:rsidRDefault="00BD4417" w:rsidP="00DA5FC3">
            <w:pPr>
              <w:pStyle w:val="Tabeltekst"/>
              <w:keepLines w:val="0"/>
              <w:widowControl w:val="0"/>
              <w:cnfStyle w:val="100000000000"/>
              <w:rPr>
                <w:b w:val="0"/>
                <w:color w:val="595959" w:themeColor="text1" w:themeTint="A6"/>
              </w:rPr>
            </w:pPr>
            <w:r w:rsidRPr="00DA5FC3">
              <w:rPr>
                <w:color w:val="595959" w:themeColor="text1" w:themeTint="A6"/>
              </w:rPr>
              <w:t xml:space="preserve">Value </w:t>
            </w:r>
          </w:p>
          <w:p w:rsidR="00BD4417" w:rsidRPr="00DA5FC3" w:rsidRDefault="00BD4417" w:rsidP="00DA5FC3">
            <w:pPr>
              <w:pStyle w:val="Tabeltekst"/>
              <w:keepLines w:val="0"/>
              <w:widowControl w:val="0"/>
              <w:cnfStyle w:val="100000000000"/>
              <w:rPr>
                <w:b w:val="0"/>
                <w:color w:val="595959" w:themeColor="text1" w:themeTint="A6"/>
              </w:rPr>
            </w:pPr>
            <w:r w:rsidRPr="00DA5FC3">
              <w:rPr>
                <w:color w:val="595959" w:themeColor="text1" w:themeTint="A6"/>
              </w:rPr>
              <w:t>(€ million)</w:t>
            </w:r>
          </w:p>
        </w:tc>
        <w:tc>
          <w:tcPr>
            <w:tcW w:w="1274" w:type="dxa"/>
          </w:tcPr>
          <w:p w:rsidR="00BD4417" w:rsidRPr="00DA5FC3" w:rsidRDefault="00BD4417" w:rsidP="00DA5FC3">
            <w:pPr>
              <w:pStyle w:val="Tabeltekst"/>
              <w:keepLines w:val="0"/>
              <w:widowControl w:val="0"/>
              <w:cnfStyle w:val="100000000000"/>
              <w:rPr>
                <w:b w:val="0"/>
                <w:color w:val="595959" w:themeColor="text1" w:themeTint="A6"/>
              </w:rPr>
            </w:pPr>
            <w:r w:rsidRPr="00DA5FC3">
              <w:rPr>
                <w:color w:val="595959" w:themeColor="text1" w:themeTint="A6"/>
              </w:rPr>
              <w:t>Filing date</w:t>
            </w:r>
          </w:p>
        </w:tc>
      </w:tr>
      <w:tr w:rsidR="00DA5FC3" w:rsidRPr="00DA5FC3" w:rsidTr="00687325">
        <w:tc>
          <w:tcPr>
            <w:cnfStyle w:val="001000000000"/>
            <w:tcW w:w="1572" w:type="dxa"/>
          </w:tcPr>
          <w:p w:rsidR="00BD4417" w:rsidRPr="00DA5FC3" w:rsidRDefault="00BD4417" w:rsidP="00DA5FC3">
            <w:pPr>
              <w:pStyle w:val="Tabeltekst"/>
              <w:keepLines w:val="0"/>
              <w:widowControl w:val="0"/>
              <w:rPr>
                <w:color w:val="595959" w:themeColor="text1" w:themeTint="A6"/>
              </w:rPr>
            </w:pPr>
            <w:r w:rsidRPr="00DA5FC3">
              <w:rPr>
                <w:color w:val="595959" w:themeColor="text1" w:themeTint="A6"/>
              </w:rPr>
              <w:t>Coca-Cola</w:t>
            </w:r>
          </w:p>
        </w:tc>
        <w:tc>
          <w:tcPr>
            <w:tcW w:w="3838" w:type="dxa"/>
          </w:tcPr>
          <w:p w:rsidR="00BD4417" w:rsidRPr="00DA5FC3" w:rsidRDefault="00BD4417" w:rsidP="00DA5FC3">
            <w:pPr>
              <w:pStyle w:val="Tabeltekst"/>
              <w:keepLines w:val="0"/>
              <w:widowControl w:val="0"/>
              <w:jc w:val="left"/>
              <w:cnfStyle w:val="000000000000"/>
              <w:rPr>
                <w:color w:val="595959" w:themeColor="text1" w:themeTint="A6"/>
              </w:rPr>
            </w:pPr>
            <w:r w:rsidRPr="00DA5FC3">
              <w:rPr>
                <w:color w:val="595959" w:themeColor="text1" w:themeTint="A6"/>
              </w:rPr>
              <w:t>Stonebridge Life Insurance Company</w:t>
            </w:r>
          </w:p>
        </w:tc>
        <w:tc>
          <w:tcPr>
            <w:tcW w:w="852"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0.05</w:t>
            </w:r>
          </w:p>
        </w:tc>
        <w:tc>
          <w:tcPr>
            <w:tcW w:w="1274"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5.66</w:t>
            </w:r>
          </w:p>
        </w:tc>
        <w:tc>
          <w:tcPr>
            <w:tcW w:w="1274"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D4417" w:rsidRPr="00DA5FC3" w:rsidRDefault="00BD4417" w:rsidP="00DA5FC3">
            <w:pPr>
              <w:pStyle w:val="Tabeltekst"/>
              <w:keepLines w:val="0"/>
              <w:widowControl w:val="0"/>
              <w:rPr>
                <w:color w:val="595959" w:themeColor="text1" w:themeTint="A6"/>
              </w:rPr>
            </w:pPr>
            <w:r w:rsidRPr="00DA5FC3">
              <w:rPr>
                <w:color w:val="595959" w:themeColor="text1" w:themeTint="A6"/>
              </w:rPr>
              <w:t>Coca-Cola</w:t>
            </w:r>
          </w:p>
        </w:tc>
        <w:tc>
          <w:tcPr>
            <w:tcW w:w="3838" w:type="dxa"/>
          </w:tcPr>
          <w:p w:rsidR="00BD4417" w:rsidRPr="00DA5FC3" w:rsidRDefault="00BD4417" w:rsidP="00DA5FC3">
            <w:pPr>
              <w:pStyle w:val="Tabeltekst"/>
              <w:keepLines w:val="0"/>
              <w:widowControl w:val="0"/>
              <w:jc w:val="left"/>
              <w:cnfStyle w:val="000000000000"/>
              <w:rPr>
                <w:color w:val="595959" w:themeColor="text1" w:themeTint="A6"/>
              </w:rPr>
            </w:pPr>
            <w:r w:rsidRPr="00DA5FC3">
              <w:rPr>
                <w:color w:val="595959" w:themeColor="text1" w:themeTint="A6"/>
              </w:rPr>
              <w:t xml:space="preserve">Transamerica Financial Life Insurance </w:t>
            </w:r>
          </w:p>
        </w:tc>
        <w:tc>
          <w:tcPr>
            <w:tcW w:w="852"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0.07</w:t>
            </w:r>
          </w:p>
        </w:tc>
        <w:tc>
          <w:tcPr>
            <w:tcW w:w="1274"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8.92</w:t>
            </w:r>
          </w:p>
        </w:tc>
        <w:tc>
          <w:tcPr>
            <w:tcW w:w="1274"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D4417" w:rsidRPr="00DA5FC3" w:rsidRDefault="00BD4417" w:rsidP="00DA5FC3">
            <w:pPr>
              <w:pStyle w:val="Tabeltekst"/>
              <w:keepLines w:val="0"/>
              <w:widowControl w:val="0"/>
              <w:rPr>
                <w:color w:val="595959" w:themeColor="text1" w:themeTint="A6"/>
              </w:rPr>
            </w:pPr>
            <w:r w:rsidRPr="00DA5FC3">
              <w:rPr>
                <w:color w:val="595959" w:themeColor="text1" w:themeTint="A6"/>
              </w:rPr>
              <w:t>Coca-Cola</w:t>
            </w:r>
          </w:p>
        </w:tc>
        <w:tc>
          <w:tcPr>
            <w:tcW w:w="3838" w:type="dxa"/>
          </w:tcPr>
          <w:p w:rsidR="00BD4417" w:rsidRPr="00DA5FC3" w:rsidRDefault="00BD4417" w:rsidP="00DA5FC3">
            <w:pPr>
              <w:pStyle w:val="Tabeltekst"/>
              <w:keepLines w:val="0"/>
              <w:widowControl w:val="0"/>
              <w:jc w:val="left"/>
              <w:cnfStyle w:val="000000000000"/>
              <w:rPr>
                <w:color w:val="595959" w:themeColor="text1" w:themeTint="A6"/>
              </w:rPr>
            </w:pPr>
            <w:r w:rsidRPr="00DA5FC3">
              <w:rPr>
                <w:color w:val="595959" w:themeColor="text1" w:themeTint="A6"/>
              </w:rPr>
              <w:t>Transamerica Life Insurance Company</w:t>
            </w:r>
          </w:p>
        </w:tc>
        <w:tc>
          <w:tcPr>
            <w:tcW w:w="852"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0.16</w:t>
            </w:r>
          </w:p>
        </w:tc>
        <w:tc>
          <w:tcPr>
            <w:tcW w:w="1274"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20.55</w:t>
            </w:r>
          </w:p>
        </w:tc>
        <w:tc>
          <w:tcPr>
            <w:tcW w:w="1274" w:type="dxa"/>
          </w:tcPr>
          <w:p w:rsidR="00BD4417" w:rsidRPr="00DA5FC3" w:rsidRDefault="00BD4417"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2C274C" w:rsidRPr="00DA5FC3" w:rsidRDefault="002C274C" w:rsidP="00DA5FC3">
            <w:pPr>
              <w:pStyle w:val="Tabeltekst"/>
              <w:keepLines w:val="0"/>
              <w:widowControl w:val="0"/>
              <w:rPr>
                <w:color w:val="595959" w:themeColor="text1" w:themeTint="A6"/>
              </w:rPr>
            </w:pPr>
            <w:r w:rsidRPr="00DA5FC3">
              <w:rPr>
                <w:color w:val="595959" w:themeColor="text1" w:themeTint="A6"/>
              </w:rPr>
              <w:t>Coca-Cola</w:t>
            </w:r>
          </w:p>
        </w:tc>
        <w:tc>
          <w:tcPr>
            <w:tcW w:w="3838" w:type="dxa"/>
          </w:tcPr>
          <w:p w:rsidR="002C274C" w:rsidRPr="00DA5FC3" w:rsidRDefault="002C274C" w:rsidP="00DA5FC3">
            <w:pPr>
              <w:pStyle w:val="Tabeltekst"/>
              <w:keepLines w:val="0"/>
              <w:widowControl w:val="0"/>
              <w:jc w:val="left"/>
              <w:cnfStyle w:val="000000000000"/>
              <w:rPr>
                <w:color w:val="595959" w:themeColor="text1" w:themeTint="A6"/>
              </w:rPr>
            </w:pPr>
            <w:r w:rsidRPr="00DA5FC3">
              <w:rPr>
                <w:color w:val="595959" w:themeColor="text1" w:themeTint="A6"/>
              </w:rPr>
              <w:t>Western Reserve Life Assurance Company of Ohio</w:t>
            </w:r>
          </w:p>
        </w:tc>
        <w:tc>
          <w:tcPr>
            <w:tcW w:w="852" w:type="dxa"/>
          </w:tcPr>
          <w:p w:rsidR="002C274C" w:rsidRPr="00DA5FC3" w:rsidRDefault="002C274C" w:rsidP="00DA5FC3">
            <w:pPr>
              <w:keepLines w:val="0"/>
              <w:widowControl w:val="0"/>
              <w:cnfStyle w:val="000000000000"/>
              <w:rPr>
                <w:color w:val="595959" w:themeColor="text1" w:themeTint="A6"/>
                <w:sz w:val="20"/>
                <w:szCs w:val="20"/>
              </w:rPr>
            </w:pPr>
            <w:r w:rsidRPr="00DA5FC3">
              <w:rPr>
                <w:color w:val="595959" w:themeColor="text1" w:themeTint="A6"/>
                <w:sz w:val="20"/>
                <w:szCs w:val="20"/>
              </w:rPr>
              <w:t>0.04</w:t>
            </w:r>
          </w:p>
        </w:tc>
        <w:tc>
          <w:tcPr>
            <w:tcW w:w="1274" w:type="dxa"/>
          </w:tcPr>
          <w:p w:rsidR="002C274C" w:rsidRPr="00DA5FC3" w:rsidRDefault="002C274C" w:rsidP="00DA5FC3">
            <w:pPr>
              <w:keepLines w:val="0"/>
              <w:widowControl w:val="0"/>
              <w:cnfStyle w:val="000000000000"/>
              <w:rPr>
                <w:color w:val="595959" w:themeColor="text1" w:themeTint="A6"/>
                <w:sz w:val="20"/>
                <w:szCs w:val="20"/>
              </w:rPr>
            </w:pPr>
            <w:r w:rsidRPr="00DA5FC3">
              <w:rPr>
                <w:color w:val="595959" w:themeColor="text1" w:themeTint="A6"/>
                <w:sz w:val="20"/>
                <w:szCs w:val="20"/>
              </w:rPr>
              <w:t>5.28</w:t>
            </w:r>
          </w:p>
        </w:tc>
        <w:tc>
          <w:tcPr>
            <w:tcW w:w="1274" w:type="dxa"/>
          </w:tcPr>
          <w:p w:rsidR="002C274C" w:rsidRPr="00DA5FC3" w:rsidRDefault="002C274C"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D4417" w:rsidRPr="00DA5FC3" w:rsidRDefault="00112D32" w:rsidP="00DA5FC3">
            <w:pPr>
              <w:pStyle w:val="Tabeltekst"/>
              <w:keepLines w:val="0"/>
              <w:widowControl w:val="0"/>
              <w:rPr>
                <w:color w:val="595959" w:themeColor="text1" w:themeTint="A6"/>
              </w:rPr>
            </w:pPr>
            <w:r w:rsidRPr="00DA5FC3">
              <w:rPr>
                <w:color w:val="595959" w:themeColor="text1" w:themeTint="A6"/>
              </w:rPr>
              <w:t>General Mills</w:t>
            </w:r>
          </w:p>
        </w:tc>
        <w:tc>
          <w:tcPr>
            <w:tcW w:w="3838" w:type="dxa"/>
          </w:tcPr>
          <w:p w:rsidR="00BD4417" w:rsidRPr="00DA5FC3" w:rsidRDefault="00112D32" w:rsidP="00DA5FC3">
            <w:pPr>
              <w:pStyle w:val="Tabeltekst"/>
              <w:keepLines w:val="0"/>
              <w:widowControl w:val="0"/>
              <w:jc w:val="left"/>
              <w:cnfStyle w:val="000000000000"/>
              <w:rPr>
                <w:color w:val="595959" w:themeColor="text1" w:themeTint="A6"/>
              </w:rPr>
            </w:pPr>
            <w:r w:rsidRPr="00DA5FC3">
              <w:rPr>
                <w:color w:val="595959" w:themeColor="text1" w:themeTint="A6"/>
              </w:rPr>
              <w:t>Monumental Life Insurance Company</w:t>
            </w:r>
          </w:p>
        </w:tc>
        <w:tc>
          <w:tcPr>
            <w:tcW w:w="852" w:type="dxa"/>
          </w:tcPr>
          <w:p w:rsidR="00BD4417" w:rsidRPr="00DA5FC3" w:rsidRDefault="00112D32" w:rsidP="00DA5FC3">
            <w:pPr>
              <w:keepLines w:val="0"/>
              <w:widowControl w:val="0"/>
              <w:cnfStyle w:val="000000000000"/>
              <w:rPr>
                <w:color w:val="595959" w:themeColor="text1" w:themeTint="A6"/>
                <w:sz w:val="20"/>
                <w:szCs w:val="20"/>
              </w:rPr>
            </w:pPr>
            <w:r w:rsidRPr="00DA5FC3">
              <w:rPr>
                <w:color w:val="595959" w:themeColor="text1" w:themeTint="A6"/>
                <w:sz w:val="20"/>
                <w:szCs w:val="20"/>
              </w:rPr>
              <w:t>0.07</w:t>
            </w:r>
          </w:p>
        </w:tc>
        <w:tc>
          <w:tcPr>
            <w:tcW w:w="1274" w:type="dxa"/>
          </w:tcPr>
          <w:p w:rsidR="00BD4417" w:rsidRPr="00DA5FC3" w:rsidRDefault="00112D32" w:rsidP="00DA5FC3">
            <w:pPr>
              <w:keepLines w:val="0"/>
              <w:widowControl w:val="0"/>
              <w:cnfStyle w:val="000000000000"/>
              <w:rPr>
                <w:color w:val="595959" w:themeColor="text1" w:themeTint="A6"/>
                <w:sz w:val="20"/>
                <w:szCs w:val="20"/>
              </w:rPr>
            </w:pPr>
            <w:r w:rsidRPr="00DA5FC3">
              <w:rPr>
                <w:color w:val="595959" w:themeColor="text1" w:themeTint="A6"/>
                <w:sz w:val="20"/>
                <w:szCs w:val="20"/>
              </w:rPr>
              <w:t>3.51</w:t>
            </w:r>
          </w:p>
        </w:tc>
        <w:tc>
          <w:tcPr>
            <w:tcW w:w="1274" w:type="dxa"/>
          </w:tcPr>
          <w:p w:rsidR="00BD4417" w:rsidRPr="00DA5FC3" w:rsidRDefault="00112D32"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01468E" w:rsidRPr="00DA5FC3" w:rsidRDefault="0001468E" w:rsidP="00DA5FC3">
            <w:pPr>
              <w:rPr>
                <w:color w:val="595959" w:themeColor="text1" w:themeTint="A6"/>
                <w:sz w:val="20"/>
                <w:szCs w:val="20"/>
              </w:rPr>
            </w:pPr>
            <w:r w:rsidRPr="00DA5FC3">
              <w:rPr>
                <w:color w:val="595959" w:themeColor="text1" w:themeTint="A6"/>
                <w:sz w:val="20"/>
                <w:szCs w:val="20"/>
              </w:rPr>
              <w:t>General Mills</w:t>
            </w:r>
          </w:p>
        </w:tc>
        <w:tc>
          <w:tcPr>
            <w:tcW w:w="3838" w:type="dxa"/>
          </w:tcPr>
          <w:p w:rsidR="0001468E" w:rsidRPr="00DA5FC3" w:rsidRDefault="0001468E" w:rsidP="00DA5FC3">
            <w:pPr>
              <w:pStyle w:val="Tabeltekst"/>
              <w:keepLines w:val="0"/>
              <w:widowControl w:val="0"/>
              <w:jc w:val="left"/>
              <w:cnfStyle w:val="000000000000"/>
              <w:rPr>
                <w:color w:val="595959" w:themeColor="text1" w:themeTint="A6"/>
              </w:rPr>
            </w:pPr>
            <w:r w:rsidRPr="00DA5FC3">
              <w:rPr>
                <w:color w:val="595959" w:themeColor="text1" w:themeTint="A6"/>
              </w:rPr>
              <w:t xml:space="preserve">Transamerica Financial Life Insurance </w:t>
            </w:r>
          </w:p>
        </w:tc>
        <w:tc>
          <w:tcPr>
            <w:tcW w:w="852" w:type="dxa"/>
          </w:tcPr>
          <w:p w:rsidR="0001468E" w:rsidRPr="00DA5FC3" w:rsidRDefault="0001468E" w:rsidP="00DA5FC3">
            <w:pPr>
              <w:keepLines w:val="0"/>
              <w:widowControl w:val="0"/>
              <w:cnfStyle w:val="000000000000"/>
              <w:rPr>
                <w:color w:val="595959" w:themeColor="text1" w:themeTint="A6"/>
                <w:sz w:val="20"/>
                <w:szCs w:val="20"/>
              </w:rPr>
            </w:pPr>
            <w:r w:rsidRPr="00DA5FC3">
              <w:rPr>
                <w:color w:val="595959" w:themeColor="text1" w:themeTint="A6"/>
                <w:sz w:val="20"/>
                <w:szCs w:val="20"/>
              </w:rPr>
              <w:t>0.05</w:t>
            </w:r>
          </w:p>
        </w:tc>
        <w:tc>
          <w:tcPr>
            <w:tcW w:w="1274" w:type="dxa"/>
          </w:tcPr>
          <w:p w:rsidR="0001468E" w:rsidRPr="00DA5FC3" w:rsidRDefault="0001468E" w:rsidP="00DA5FC3">
            <w:pPr>
              <w:keepLines w:val="0"/>
              <w:widowControl w:val="0"/>
              <w:cnfStyle w:val="000000000000"/>
              <w:rPr>
                <w:color w:val="595959" w:themeColor="text1" w:themeTint="A6"/>
                <w:sz w:val="20"/>
                <w:szCs w:val="20"/>
              </w:rPr>
            </w:pPr>
            <w:r w:rsidRPr="00DA5FC3">
              <w:rPr>
                <w:color w:val="595959" w:themeColor="text1" w:themeTint="A6"/>
                <w:sz w:val="20"/>
                <w:szCs w:val="20"/>
              </w:rPr>
              <w:t>2.18</w:t>
            </w:r>
          </w:p>
        </w:tc>
        <w:tc>
          <w:tcPr>
            <w:tcW w:w="1274" w:type="dxa"/>
          </w:tcPr>
          <w:p w:rsidR="0001468E" w:rsidRPr="00DA5FC3" w:rsidRDefault="0001468E"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01468E" w:rsidRPr="00DA5FC3" w:rsidRDefault="0001468E" w:rsidP="00DA5FC3">
            <w:pPr>
              <w:rPr>
                <w:color w:val="595959" w:themeColor="text1" w:themeTint="A6"/>
                <w:sz w:val="20"/>
                <w:szCs w:val="20"/>
              </w:rPr>
            </w:pPr>
            <w:r w:rsidRPr="00DA5FC3">
              <w:rPr>
                <w:color w:val="595959" w:themeColor="text1" w:themeTint="A6"/>
                <w:sz w:val="20"/>
                <w:szCs w:val="20"/>
              </w:rPr>
              <w:t>General Mills</w:t>
            </w:r>
          </w:p>
        </w:tc>
        <w:tc>
          <w:tcPr>
            <w:tcW w:w="3838" w:type="dxa"/>
          </w:tcPr>
          <w:p w:rsidR="0001468E" w:rsidRPr="00DA5FC3" w:rsidRDefault="0001468E" w:rsidP="00DA5FC3">
            <w:pPr>
              <w:pStyle w:val="Tabeltekst"/>
              <w:keepLines w:val="0"/>
              <w:widowControl w:val="0"/>
              <w:jc w:val="left"/>
              <w:cnfStyle w:val="000000000000"/>
              <w:rPr>
                <w:color w:val="595959" w:themeColor="text1" w:themeTint="A6"/>
              </w:rPr>
            </w:pPr>
            <w:r w:rsidRPr="00DA5FC3">
              <w:rPr>
                <w:color w:val="595959" w:themeColor="text1" w:themeTint="A6"/>
              </w:rPr>
              <w:t>Transamerica Life Insurance Company</w:t>
            </w:r>
          </w:p>
        </w:tc>
        <w:tc>
          <w:tcPr>
            <w:tcW w:w="852" w:type="dxa"/>
          </w:tcPr>
          <w:p w:rsidR="0001468E" w:rsidRPr="00DA5FC3" w:rsidRDefault="0001468E" w:rsidP="00DA5FC3">
            <w:pPr>
              <w:keepLines w:val="0"/>
              <w:widowControl w:val="0"/>
              <w:cnfStyle w:val="000000000000"/>
              <w:rPr>
                <w:color w:val="595959" w:themeColor="text1" w:themeTint="A6"/>
                <w:sz w:val="20"/>
                <w:szCs w:val="20"/>
              </w:rPr>
            </w:pPr>
            <w:r w:rsidRPr="00DA5FC3">
              <w:rPr>
                <w:color w:val="595959" w:themeColor="text1" w:themeTint="A6"/>
                <w:sz w:val="20"/>
                <w:szCs w:val="20"/>
              </w:rPr>
              <w:t>0.06</w:t>
            </w:r>
          </w:p>
        </w:tc>
        <w:tc>
          <w:tcPr>
            <w:tcW w:w="1274" w:type="dxa"/>
          </w:tcPr>
          <w:p w:rsidR="0001468E" w:rsidRPr="00DA5FC3" w:rsidRDefault="0001468E" w:rsidP="00DA5FC3">
            <w:pPr>
              <w:keepLines w:val="0"/>
              <w:widowControl w:val="0"/>
              <w:cnfStyle w:val="000000000000"/>
              <w:rPr>
                <w:color w:val="595959" w:themeColor="text1" w:themeTint="A6"/>
                <w:sz w:val="20"/>
                <w:szCs w:val="20"/>
              </w:rPr>
            </w:pPr>
            <w:r w:rsidRPr="00DA5FC3">
              <w:rPr>
                <w:color w:val="595959" w:themeColor="text1" w:themeTint="A6"/>
                <w:sz w:val="20"/>
                <w:szCs w:val="20"/>
              </w:rPr>
              <w:t>3.02</w:t>
            </w:r>
          </w:p>
        </w:tc>
        <w:tc>
          <w:tcPr>
            <w:tcW w:w="1274" w:type="dxa"/>
          </w:tcPr>
          <w:p w:rsidR="0001468E" w:rsidRPr="00DA5FC3" w:rsidRDefault="0001468E"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D4417" w:rsidRPr="00DA5FC3" w:rsidRDefault="00567C2B" w:rsidP="00DA5FC3">
            <w:pPr>
              <w:pStyle w:val="Tabeltekst"/>
              <w:keepLines w:val="0"/>
              <w:widowControl w:val="0"/>
              <w:rPr>
                <w:color w:val="595959" w:themeColor="text1" w:themeTint="A6"/>
              </w:rPr>
            </w:pPr>
            <w:r w:rsidRPr="00DA5FC3">
              <w:rPr>
                <w:color w:val="595959" w:themeColor="text1" w:themeTint="A6"/>
              </w:rPr>
              <w:t>Kellogg</w:t>
            </w:r>
          </w:p>
        </w:tc>
        <w:tc>
          <w:tcPr>
            <w:tcW w:w="3838" w:type="dxa"/>
          </w:tcPr>
          <w:p w:rsidR="00BD4417" w:rsidRPr="00DA5FC3" w:rsidRDefault="00567C2B" w:rsidP="00DA5FC3">
            <w:pPr>
              <w:pStyle w:val="Tabeltekst"/>
              <w:keepLines w:val="0"/>
              <w:widowControl w:val="0"/>
              <w:jc w:val="left"/>
              <w:cnfStyle w:val="000000000000"/>
              <w:rPr>
                <w:color w:val="595959" w:themeColor="text1" w:themeTint="A6"/>
              </w:rPr>
            </w:pPr>
            <w:r w:rsidRPr="00DA5FC3">
              <w:rPr>
                <w:color w:val="595959" w:themeColor="text1" w:themeTint="A6"/>
              </w:rPr>
              <w:t>Monumental Life Insurance Company</w:t>
            </w:r>
          </w:p>
        </w:tc>
        <w:tc>
          <w:tcPr>
            <w:tcW w:w="852" w:type="dxa"/>
          </w:tcPr>
          <w:p w:rsidR="00BD4417" w:rsidRPr="00DA5FC3" w:rsidRDefault="00567C2B" w:rsidP="00DA5FC3">
            <w:pPr>
              <w:keepLines w:val="0"/>
              <w:widowControl w:val="0"/>
              <w:cnfStyle w:val="000000000000"/>
              <w:rPr>
                <w:color w:val="595959" w:themeColor="text1" w:themeTint="A6"/>
                <w:sz w:val="20"/>
                <w:szCs w:val="20"/>
              </w:rPr>
            </w:pPr>
            <w:r w:rsidRPr="00DA5FC3">
              <w:rPr>
                <w:color w:val="595959" w:themeColor="text1" w:themeTint="A6"/>
                <w:sz w:val="20"/>
                <w:szCs w:val="20"/>
              </w:rPr>
              <w:t>0.18</w:t>
            </w:r>
          </w:p>
        </w:tc>
        <w:tc>
          <w:tcPr>
            <w:tcW w:w="1274" w:type="dxa"/>
          </w:tcPr>
          <w:p w:rsidR="00BD4417" w:rsidRPr="00DA5FC3" w:rsidRDefault="00567C2B" w:rsidP="00DA5FC3">
            <w:pPr>
              <w:keepLines w:val="0"/>
              <w:widowControl w:val="0"/>
              <w:cnfStyle w:val="000000000000"/>
              <w:rPr>
                <w:color w:val="595959" w:themeColor="text1" w:themeTint="A6"/>
                <w:sz w:val="20"/>
                <w:szCs w:val="20"/>
              </w:rPr>
            </w:pPr>
            <w:r w:rsidRPr="00DA5FC3">
              <w:rPr>
                <w:color w:val="595959" w:themeColor="text1" w:themeTint="A6"/>
                <w:sz w:val="20"/>
                <w:szCs w:val="20"/>
              </w:rPr>
              <w:t>9.05</w:t>
            </w:r>
          </w:p>
        </w:tc>
        <w:tc>
          <w:tcPr>
            <w:tcW w:w="1274" w:type="dxa"/>
          </w:tcPr>
          <w:p w:rsidR="00BD4417" w:rsidRPr="00DA5FC3" w:rsidRDefault="00567C2B"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D4417" w:rsidRPr="00DA5FC3" w:rsidRDefault="00567C2B" w:rsidP="00DA5FC3">
            <w:pPr>
              <w:pStyle w:val="Tabeltekst"/>
              <w:keepLines w:val="0"/>
              <w:widowControl w:val="0"/>
              <w:rPr>
                <w:color w:val="595959" w:themeColor="text1" w:themeTint="A6"/>
              </w:rPr>
            </w:pPr>
            <w:r w:rsidRPr="00DA5FC3">
              <w:rPr>
                <w:color w:val="595959" w:themeColor="text1" w:themeTint="A6"/>
              </w:rPr>
              <w:t>Kellogg</w:t>
            </w:r>
          </w:p>
        </w:tc>
        <w:tc>
          <w:tcPr>
            <w:tcW w:w="3838" w:type="dxa"/>
          </w:tcPr>
          <w:p w:rsidR="00BD4417" w:rsidRPr="00DA5FC3" w:rsidRDefault="00567C2B" w:rsidP="00DA5FC3">
            <w:pPr>
              <w:pStyle w:val="Tabeltekst"/>
              <w:keepLines w:val="0"/>
              <w:widowControl w:val="0"/>
              <w:jc w:val="left"/>
              <w:cnfStyle w:val="000000000000"/>
              <w:rPr>
                <w:color w:val="595959" w:themeColor="text1" w:themeTint="A6"/>
              </w:rPr>
            </w:pPr>
            <w:r w:rsidRPr="00DA5FC3">
              <w:rPr>
                <w:color w:val="595959" w:themeColor="text1" w:themeTint="A6"/>
              </w:rPr>
              <w:t>Stonebridge Life Insurance Company</w:t>
            </w:r>
          </w:p>
        </w:tc>
        <w:tc>
          <w:tcPr>
            <w:tcW w:w="852" w:type="dxa"/>
          </w:tcPr>
          <w:p w:rsidR="00BD4417" w:rsidRPr="00DA5FC3" w:rsidRDefault="00567C2B" w:rsidP="00DA5FC3">
            <w:pPr>
              <w:keepLines w:val="0"/>
              <w:widowControl w:val="0"/>
              <w:cnfStyle w:val="000000000000"/>
              <w:rPr>
                <w:color w:val="595959" w:themeColor="text1" w:themeTint="A6"/>
                <w:sz w:val="20"/>
                <w:szCs w:val="20"/>
              </w:rPr>
            </w:pPr>
            <w:r w:rsidRPr="00DA5FC3">
              <w:rPr>
                <w:color w:val="595959" w:themeColor="text1" w:themeTint="A6"/>
                <w:sz w:val="20"/>
                <w:szCs w:val="20"/>
              </w:rPr>
              <w:t>0.06</w:t>
            </w:r>
          </w:p>
        </w:tc>
        <w:tc>
          <w:tcPr>
            <w:tcW w:w="1274" w:type="dxa"/>
          </w:tcPr>
          <w:p w:rsidR="00BD4417" w:rsidRPr="00DA5FC3" w:rsidRDefault="00567C2B" w:rsidP="00DA5FC3">
            <w:pPr>
              <w:keepLines w:val="0"/>
              <w:widowControl w:val="0"/>
              <w:cnfStyle w:val="000000000000"/>
              <w:rPr>
                <w:color w:val="595959" w:themeColor="text1" w:themeTint="A6"/>
                <w:sz w:val="20"/>
                <w:szCs w:val="20"/>
              </w:rPr>
            </w:pPr>
            <w:r w:rsidRPr="00DA5FC3">
              <w:rPr>
                <w:color w:val="595959" w:themeColor="text1" w:themeTint="A6"/>
                <w:sz w:val="20"/>
                <w:szCs w:val="20"/>
              </w:rPr>
              <w:t>3.02</w:t>
            </w:r>
          </w:p>
        </w:tc>
        <w:tc>
          <w:tcPr>
            <w:tcW w:w="1274" w:type="dxa"/>
          </w:tcPr>
          <w:p w:rsidR="00BD4417" w:rsidRPr="00DA5FC3" w:rsidRDefault="00567C2B"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E63BF0" w:rsidRPr="00DA5FC3" w:rsidRDefault="00E63BF0" w:rsidP="00DA5FC3">
            <w:pPr>
              <w:rPr>
                <w:color w:val="595959" w:themeColor="text1" w:themeTint="A6"/>
                <w:sz w:val="20"/>
                <w:szCs w:val="20"/>
              </w:rPr>
            </w:pPr>
            <w:r w:rsidRPr="00DA5FC3">
              <w:rPr>
                <w:color w:val="595959" w:themeColor="text1" w:themeTint="A6"/>
                <w:sz w:val="20"/>
                <w:szCs w:val="20"/>
              </w:rPr>
              <w:t>Kellogg</w:t>
            </w:r>
          </w:p>
        </w:tc>
        <w:tc>
          <w:tcPr>
            <w:tcW w:w="3838" w:type="dxa"/>
          </w:tcPr>
          <w:p w:rsidR="00E63BF0" w:rsidRPr="00DA5FC3" w:rsidRDefault="00E63BF0" w:rsidP="00DA5FC3">
            <w:pPr>
              <w:pStyle w:val="Tabeltekst"/>
              <w:keepLines w:val="0"/>
              <w:widowControl w:val="0"/>
              <w:jc w:val="left"/>
              <w:cnfStyle w:val="000000000000"/>
              <w:rPr>
                <w:color w:val="595959" w:themeColor="text1" w:themeTint="A6"/>
              </w:rPr>
            </w:pPr>
            <w:r w:rsidRPr="00DA5FC3">
              <w:rPr>
                <w:color w:val="595959" w:themeColor="text1" w:themeTint="A6"/>
              </w:rPr>
              <w:t>Transamerica Financial Life Insurance</w:t>
            </w:r>
          </w:p>
        </w:tc>
        <w:tc>
          <w:tcPr>
            <w:tcW w:w="852" w:type="dxa"/>
          </w:tcPr>
          <w:p w:rsidR="00E63BF0" w:rsidRPr="00DA5FC3" w:rsidRDefault="00E63BF0" w:rsidP="00DA5FC3">
            <w:pPr>
              <w:keepLines w:val="0"/>
              <w:widowControl w:val="0"/>
              <w:cnfStyle w:val="000000000000"/>
              <w:rPr>
                <w:color w:val="595959" w:themeColor="text1" w:themeTint="A6"/>
                <w:sz w:val="20"/>
                <w:szCs w:val="20"/>
              </w:rPr>
            </w:pPr>
            <w:r w:rsidRPr="00DA5FC3">
              <w:rPr>
                <w:color w:val="595959" w:themeColor="text1" w:themeTint="A6"/>
                <w:sz w:val="20"/>
                <w:szCs w:val="20"/>
              </w:rPr>
              <w:t>0.26</w:t>
            </w:r>
          </w:p>
        </w:tc>
        <w:tc>
          <w:tcPr>
            <w:tcW w:w="1274" w:type="dxa"/>
          </w:tcPr>
          <w:p w:rsidR="00E63BF0" w:rsidRPr="00DA5FC3" w:rsidRDefault="00E63BF0" w:rsidP="00DA5FC3">
            <w:pPr>
              <w:keepLines w:val="0"/>
              <w:widowControl w:val="0"/>
              <w:cnfStyle w:val="000000000000"/>
              <w:rPr>
                <w:color w:val="595959" w:themeColor="text1" w:themeTint="A6"/>
                <w:sz w:val="20"/>
                <w:szCs w:val="20"/>
              </w:rPr>
            </w:pPr>
            <w:r w:rsidRPr="00DA5FC3">
              <w:rPr>
                <w:color w:val="595959" w:themeColor="text1" w:themeTint="A6"/>
                <w:sz w:val="20"/>
                <w:szCs w:val="20"/>
              </w:rPr>
              <w:t>12.89</w:t>
            </w:r>
          </w:p>
        </w:tc>
        <w:tc>
          <w:tcPr>
            <w:tcW w:w="1274" w:type="dxa"/>
          </w:tcPr>
          <w:p w:rsidR="00E63BF0" w:rsidRPr="00DA5FC3" w:rsidRDefault="00E63BF0"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E63BF0" w:rsidRPr="00DA5FC3" w:rsidRDefault="00E63BF0" w:rsidP="00DA5FC3">
            <w:pPr>
              <w:rPr>
                <w:color w:val="595959" w:themeColor="text1" w:themeTint="A6"/>
                <w:sz w:val="20"/>
                <w:szCs w:val="20"/>
              </w:rPr>
            </w:pPr>
            <w:r w:rsidRPr="00DA5FC3">
              <w:rPr>
                <w:color w:val="595959" w:themeColor="text1" w:themeTint="A6"/>
                <w:sz w:val="20"/>
                <w:szCs w:val="20"/>
              </w:rPr>
              <w:t>Kellogg</w:t>
            </w:r>
          </w:p>
        </w:tc>
        <w:tc>
          <w:tcPr>
            <w:tcW w:w="3838" w:type="dxa"/>
          </w:tcPr>
          <w:p w:rsidR="00E63BF0" w:rsidRPr="00DA5FC3" w:rsidRDefault="00E63BF0" w:rsidP="00DA5FC3">
            <w:pPr>
              <w:pStyle w:val="Tabeltekst"/>
              <w:keepLines w:val="0"/>
              <w:widowControl w:val="0"/>
              <w:jc w:val="left"/>
              <w:cnfStyle w:val="000000000000"/>
              <w:rPr>
                <w:color w:val="595959" w:themeColor="text1" w:themeTint="A6"/>
              </w:rPr>
            </w:pPr>
            <w:r w:rsidRPr="00DA5FC3">
              <w:rPr>
                <w:color w:val="595959" w:themeColor="text1" w:themeTint="A6"/>
              </w:rPr>
              <w:t>Transamerica Life Insurance Company</w:t>
            </w:r>
          </w:p>
        </w:tc>
        <w:tc>
          <w:tcPr>
            <w:tcW w:w="852" w:type="dxa"/>
          </w:tcPr>
          <w:p w:rsidR="00E63BF0" w:rsidRPr="00DA5FC3" w:rsidRDefault="00E63BF0" w:rsidP="00DA5FC3">
            <w:pPr>
              <w:keepLines w:val="0"/>
              <w:widowControl w:val="0"/>
              <w:cnfStyle w:val="000000000000"/>
              <w:rPr>
                <w:color w:val="595959" w:themeColor="text1" w:themeTint="A6"/>
                <w:sz w:val="20"/>
                <w:szCs w:val="20"/>
              </w:rPr>
            </w:pPr>
            <w:r w:rsidRPr="00DA5FC3">
              <w:rPr>
                <w:color w:val="595959" w:themeColor="text1" w:themeTint="A6"/>
                <w:sz w:val="20"/>
                <w:szCs w:val="20"/>
              </w:rPr>
              <w:t>0.32</w:t>
            </w:r>
          </w:p>
        </w:tc>
        <w:tc>
          <w:tcPr>
            <w:tcW w:w="1274" w:type="dxa"/>
          </w:tcPr>
          <w:p w:rsidR="00E63BF0" w:rsidRPr="00DA5FC3" w:rsidRDefault="00E63BF0" w:rsidP="00DA5FC3">
            <w:pPr>
              <w:keepLines w:val="0"/>
              <w:widowControl w:val="0"/>
              <w:cnfStyle w:val="000000000000"/>
              <w:rPr>
                <w:color w:val="595959" w:themeColor="text1" w:themeTint="A6"/>
                <w:sz w:val="20"/>
                <w:szCs w:val="20"/>
              </w:rPr>
            </w:pPr>
            <w:r w:rsidRPr="00DA5FC3">
              <w:rPr>
                <w:color w:val="595959" w:themeColor="text1" w:themeTint="A6"/>
                <w:sz w:val="20"/>
                <w:szCs w:val="20"/>
              </w:rPr>
              <w:t>15.84</w:t>
            </w:r>
          </w:p>
        </w:tc>
        <w:tc>
          <w:tcPr>
            <w:tcW w:w="1274" w:type="dxa"/>
          </w:tcPr>
          <w:p w:rsidR="00E63BF0" w:rsidRPr="00DA5FC3" w:rsidRDefault="00E63BF0"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E63BF0" w:rsidRPr="00DA5FC3" w:rsidRDefault="00E63BF0" w:rsidP="00DA5FC3">
            <w:pPr>
              <w:rPr>
                <w:color w:val="595959" w:themeColor="text1" w:themeTint="A6"/>
                <w:sz w:val="20"/>
                <w:szCs w:val="20"/>
              </w:rPr>
            </w:pPr>
            <w:r w:rsidRPr="00DA5FC3">
              <w:rPr>
                <w:color w:val="595959" w:themeColor="text1" w:themeTint="A6"/>
                <w:sz w:val="20"/>
                <w:szCs w:val="20"/>
              </w:rPr>
              <w:t>Kellogg</w:t>
            </w:r>
          </w:p>
        </w:tc>
        <w:tc>
          <w:tcPr>
            <w:tcW w:w="3838" w:type="dxa"/>
          </w:tcPr>
          <w:p w:rsidR="00E63BF0" w:rsidRPr="00DA5FC3" w:rsidRDefault="00E63BF0" w:rsidP="00DA5FC3">
            <w:pPr>
              <w:pStyle w:val="Tabeltekst"/>
              <w:keepLines w:val="0"/>
              <w:widowControl w:val="0"/>
              <w:jc w:val="left"/>
              <w:cnfStyle w:val="000000000000"/>
              <w:rPr>
                <w:color w:val="595959" w:themeColor="text1" w:themeTint="A6"/>
              </w:rPr>
            </w:pPr>
            <w:r w:rsidRPr="00DA5FC3">
              <w:rPr>
                <w:color w:val="595959" w:themeColor="text1" w:themeTint="A6"/>
              </w:rPr>
              <w:t>Transamerica Partners</w:t>
            </w:r>
          </w:p>
        </w:tc>
        <w:tc>
          <w:tcPr>
            <w:tcW w:w="852" w:type="dxa"/>
          </w:tcPr>
          <w:p w:rsidR="00E63BF0" w:rsidRPr="00DA5FC3" w:rsidRDefault="00E63BF0" w:rsidP="00DA5FC3">
            <w:pPr>
              <w:keepLines w:val="0"/>
              <w:widowControl w:val="0"/>
              <w:cnfStyle w:val="000000000000"/>
              <w:rPr>
                <w:color w:val="595959" w:themeColor="text1" w:themeTint="A6"/>
                <w:sz w:val="20"/>
                <w:szCs w:val="20"/>
              </w:rPr>
            </w:pPr>
            <w:r w:rsidRPr="00DA5FC3">
              <w:rPr>
                <w:color w:val="595959" w:themeColor="text1" w:themeTint="A6"/>
                <w:sz w:val="20"/>
                <w:szCs w:val="20"/>
              </w:rPr>
              <w:t>0.07</w:t>
            </w:r>
          </w:p>
        </w:tc>
        <w:tc>
          <w:tcPr>
            <w:tcW w:w="1274" w:type="dxa"/>
          </w:tcPr>
          <w:p w:rsidR="00E63BF0" w:rsidRPr="00DA5FC3" w:rsidRDefault="00E63BF0" w:rsidP="00DA5FC3">
            <w:pPr>
              <w:keepLines w:val="0"/>
              <w:widowControl w:val="0"/>
              <w:cnfStyle w:val="000000000000"/>
              <w:rPr>
                <w:color w:val="595959" w:themeColor="text1" w:themeTint="A6"/>
                <w:sz w:val="20"/>
                <w:szCs w:val="20"/>
              </w:rPr>
            </w:pPr>
            <w:r w:rsidRPr="00DA5FC3">
              <w:rPr>
                <w:color w:val="595959" w:themeColor="text1" w:themeTint="A6"/>
                <w:sz w:val="20"/>
                <w:szCs w:val="20"/>
              </w:rPr>
              <w:t>3.72</w:t>
            </w:r>
          </w:p>
        </w:tc>
        <w:tc>
          <w:tcPr>
            <w:tcW w:w="1274" w:type="dxa"/>
          </w:tcPr>
          <w:p w:rsidR="00E63BF0" w:rsidRPr="00DA5FC3" w:rsidRDefault="00E63BF0" w:rsidP="00DA5FC3">
            <w:pPr>
              <w:keepLines w:val="0"/>
              <w:widowControl w:val="0"/>
              <w:cnfStyle w:val="000000000000"/>
              <w:rPr>
                <w:color w:val="595959" w:themeColor="text1" w:themeTint="A6"/>
                <w:sz w:val="20"/>
                <w:szCs w:val="20"/>
              </w:rPr>
            </w:pPr>
            <w:r w:rsidRPr="00DA5FC3">
              <w:rPr>
                <w:color w:val="595959" w:themeColor="text1" w:themeTint="A6"/>
                <w:sz w:val="20"/>
                <w:szCs w:val="20"/>
              </w:rPr>
              <w:t>31-12-2011</w:t>
            </w:r>
          </w:p>
        </w:tc>
      </w:tr>
      <w:tr w:rsidR="00DA5FC3" w:rsidRPr="00DA5FC3" w:rsidTr="00687325">
        <w:tc>
          <w:tcPr>
            <w:cnfStyle w:val="001000000000"/>
            <w:tcW w:w="1572" w:type="dxa"/>
          </w:tcPr>
          <w:p w:rsidR="00567C2B" w:rsidRPr="00DA5FC3" w:rsidRDefault="009458D0" w:rsidP="00DA5FC3">
            <w:pPr>
              <w:pStyle w:val="Tabeltekst"/>
              <w:keepLines w:val="0"/>
              <w:widowControl w:val="0"/>
              <w:rPr>
                <w:color w:val="595959" w:themeColor="text1" w:themeTint="A6"/>
              </w:rPr>
            </w:pPr>
            <w:r w:rsidRPr="00DA5FC3">
              <w:rPr>
                <w:color w:val="595959" w:themeColor="text1" w:themeTint="A6"/>
              </w:rPr>
              <w:t>Mondelēz International</w:t>
            </w:r>
          </w:p>
        </w:tc>
        <w:tc>
          <w:tcPr>
            <w:tcW w:w="3838" w:type="dxa"/>
          </w:tcPr>
          <w:p w:rsidR="00567C2B" w:rsidRPr="00DA5FC3" w:rsidRDefault="009458D0" w:rsidP="00DA5FC3">
            <w:pPr>
              <w:pStyle w:val="Tabeltekst"/>
              <w:keepLines w:val="0"/>
              <w:widowControl w:val="0"/>
              <w:jc w:val="left"/>
              <w:cnfStyle w:val="000000000000"/>
              <w:rPr>
                <w:color w:val="595959" w:themeColor="text1" w:themeTint="A6"/>
              </w:rPr>
            </w:pPr>
            <w:r w:rsidRPr="00DA5FC3">
              <w:rPr>
                <w:color w:val="595959" w:themeColor="text1" w:themeTint="A6"/>
              </w:rPr>
              <w:t>Monumental Life Insurance Company</w:t>
            </w:r>
          </w:p>
        </w:tc>
        <w:tc>
          <w:tcPr>
            <w:tcW w:w="852" w:type="dxa"/>
          </w:tcPr>
          <w:p w:rsidR="00567C2B" w:rsidRPr="00DA5FC3" w:rsidRDefault="009458D0" w:rsidP="00DA5FC3">
            <w:pPr>
              <w:keepLines w:val="0"/>
              <w:widowControl w:val="0"/>
              <w:cnfStyle w:val="000000000000"/>
              <w:rPr>
                <w:color w:val="595959" w:themeColor="text1" w:themeTint="A6"/>
                <w:sz w:val="20"/>
                <w:szCs w:val="20"/>
              </w:rPr>
            </w:pPr>
            <w:r w:rsidRPr="00DA5FC3">
              <w:rPr>
                <w:color w:val="595959" w:themeColor="text1" w:themeTint="A6"/>
                <w:sz w:val="20"/>
                <w:szCs w:val="20"/>
              </w:rPr>
              <w:t>0.22</w:t>
            </w:r>
          </w:p>
        </w:tc>
        <w:tc>
          <w:tcPr>
            <w:tcW w:w="1274" w:type="dxa"/>
          </w:tcPr>
          <w:p w:rsidR="00567C2B" w:rsidRPr="00DA5FC3" w:rsidRDefault="009458D0" w:rsidP="00DA5FC3">
            <w:pPr>
              <w:keepLines w:val="0"/>
              <w:widowControl w:val="0"/>
              <w:cnfStyle w:val="000000000000"/>
              <w:rPr>
                <w:color w:val="595959" w:themeColor="text1" w:themeTint="A6"/>
                <w:sz w:val="20"/>
                <w:szCs w:val="20"/>
              </w:rPr>
            </w:pPr>
            <w:r w:rsidRPr="00DA5FC3">
              <w:rPr>
                <w:color w:val="595959" w:themeColor="text1" w:themeTint="A6"/>
                <w:sz w:val="20"/>
                <w:szCs w:val="20"/>
              </w:rPr>
              <w:t>28.35</w:t>
            </w:r>
          </w:p>
        </w:tc>
        <w:tc>
          <w:tcPr>
            <w:tcW w:w="1274" w:type="dxa"/>
          </w:tcPr>
          <w:p w:rsidR="00567C2B" w:rsidRPr="00DA5FC3" w:rsidRDefault="009458D0"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567C2B" w:rsidRPr="00DA5FC3" w:rsidRDefault="009458D0" w:rsidP="00DA5FC3">
            <w:pPr>
              <w:pStyle w:val="Tabeltekst"/>
              <w:keepLines w:val="0"/>
              <w:widowControl w:val="0"/>
              <w:rPr>
                <w:color w:val="595959" w:themeColor="text1" w:themeTint="A6"/>
              </w:rPr>
            </w:pPr>
            <w:r w:rsidRPr="00DA5FC3">
              <w:rPr>
                <w:color w:val="595959" w:themeColor="text1" w:themeTint="A6"/>
              </w:rPr>
              <w:t>Mondelēz International</w:t>
            </w:r>
          </w:p>
        </w:tc>
        <w:tc>
          <w:tcPr>
            <w:tcW w:w="3838" w:type="dxa"/>
          </w:tcPr>
          <w:p w:rsidR="00567C2B" w:rsidRPr="00DA5FC3" w:rsidRDefault="009458D0" w:rsidP="00DA5FC3">
            <w:pPr>
              <w:pStyle w:val="Tabeltekst"/>
              <w:keepLines w:val="0"/>
              <w:widowControl w:val="0"/>
              <w:jc w:val="left"/>
              <w:cnfStyle w:val="000000000000"/>
              <w:rPr>
                <w:color w:val="595959" w:themeColor="text1" w:themeTint="A6"/>
              </w:rPr>
            </w:pPr>
            <w:r w:rsidRPr="00DA5FC3">
              <w:rPr>
                <w:color w:val="595959" w:themeColor="text1" w:themeTint="A6"/>
              </w:rPr>
              <w:t>Stonebridge Life Insurance Company</w:t>
            </w:r>
          </w:p>
        </w:tc>
        <w:tc>
          <w:tcPr>
            <w:tcW w:w="852" w:type="dxa"/>
          </w:tcPr>
          <w:p w:rsidR="00567C2B" w:rsidRPr="00DA5FC3" w:rsidRDefault="009458D0" w:rsidP="00DA5FC3">
            <w:pPr>
              <w:keepLines w:val="0"/>
              <w:widowControl w:val="0"/>
              <w:cnfStyle w:val="000000000000"/>
              <w:rPr>
                <w:color w:val="595959" w:themeColor="text1" w:themeTint="A6"/>
                <w:sz w:val="20"/>
                <w:szCs w:val="20"/>
              </w:rPr>
            </w:pPr>
            <w:r w:rsidRPr="00DA5FC3">
              <w:rPr>
                <w:color w:val="595959" w:themeColor="text1" w:themeTint="A6"/>
                <w:sz w:val="20"/>
                <w:szCs w:val="20"/>
              </w:rPr>
              <w:t>0.05</w:t>
            </w:r>
          </w:p>
        </w:tc>
        <w:tc>
          <w:tcPr>
            <w:tcW w:w="1274" w:type="dxa"/>
          </w:tcPr>
          <w:p w:rsidR="00567C2B" w:rsidRPr="00DA5FC3" w:rsidRDefault="009458D0" w:rsidP="00DA5FC3">
            <w:pPr>
              <w:keepLines w:val="0"/>
              <w:widowControl w:val="0"/>
              <w:cnfStyle w:val="000000000000"/>
              <w:rPr>
                <w:color w:val="595959" w:themeColor="text1" w:themeTint="A6"/>
                <w:sz w:val="20"/>
                <w:szCs w:val="20"/>
              </w:rPr>
            </w:pPr>
            <w:r w:rsidRPr="00DA5FC3">
              <w:rPr>
                <w:color w:val="595959" w:themeColor="text1" w:themeTint="A6"/>
                <w:sz w:val="20"/>
                <w:szCs w:val="20"/>
              </w:rPr>
              <w:t>6.41</w:t>
            </w:r>
          </w:p>
        </w:tc>
        <w:tc>
          <w:tcPr>
            <w:tcW w:w="1274" w:type="dxa"/>
          </w:tcPr>
          <w:p w:rsidR="00567C2B" w:rsidRPr="00DA5FC3" w:rsidRDefault="009458D0"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3843AC" w:rsidRPr="00DA5FC3" w:rsidRDefault="003843AC" w:rsidP="00DA5FC3">
            <w:pPr>
              <w:rPr>
                <w:color w:val="595959" w:themeColor="text1" w:themeTint="A6"/>
                <w:sz w:val="20"/>
                <w:szCs w:val="20"/>
              </w:rPr>
            </w:pPr>
            <w:r w:rsidRPr="00DA5FC3">
              <w:rPr>
                <w:color w:val="595959" w:themeColor="text1" w:themeTint="A6"/>
                <w:sz w:val="20"/>
                <w:szCs w:val="20"/>
              </w:rPr>
              <w:t>Mondelēz International</w:t>
            </w:r>
          </w:p>
        </w:tc>
        <w:tc>
          <w:tcPr>
            <w:tcW w:w="3838" w:type="dxa"/>
          </w:tcPr>
          <w:p w:rsidR="003843AC" w:rsidRPr="00DA5FC3" w:rsidRDefault="003843AC" w:rsidP="00DA5FC3">
            <w:pPr>
              <w:pStyle w:val="Tabeltekst"/>
              <w:keepLines w:val="0"/>
              <w:widowControl w:val="0"/>
              <w:jc w:val="left"/>
              <w:cnfStyle w:val="000000000000"/>
              <w:rPr>
                <w:color w:val="595959" w:themeColor="text1" w:themeTint="A6"/>
              </w:rPr>
            </w:pPr>
            <w:r w:rsidRPr="00DA5FC3">
              <w:rPr>
                <w:color w:val="595959" w:themeColor="text1" w:themeTint="A6"/>
              </w:rPr>
              <w:t>Transamerica Advisors Life Insurance</w:t>
            </w:r>
          </w:p>
        </w:tc>
        <w:tc>
          <w:tcPr>
            <w:tcW w:w="852" w:type="dxa"/>
          </w:tcPr>
          <w:p w:rsidR="003843AC"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0.02</w:t>
            </w:r>
          </w:p>
        </w:tc>
        <w:tc>
          <w:tcPr>
            <w:tcW w:w="1274" w:type="dxa"/>
          </w:tcPr>
          <w:p w:rsidR="003843AC"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2.70</w:t>
            </w:r>
          </w:p>
        </w:tc>
        <w:tc>
          <w:tcPr>
            <w:tcW w:w="1274" w:type="dxa"/>
          </w:tcPr>
          <w:p w:rsidR="003843AC" w:rsidRPr="00DA5FC3" w:rsidRDefault="003843AC"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3843AC" w:rsidRPr="00DA5FC3" w:rsidRDefault="003843AC" w:rsidP="00DA5FC3">
            <w:pPr>
              <w:rPr>
                <w:color w:val="595959" w:themeColor="text1" w:themeTint="A6"/>
                <w:sz w:val="20"/>
                <w:szCs w:val="20"/>
              </w:rPr>
            </w:pPr>
            <w:r w:rsidRPr="00DA5FC3">
              <w:rPr>
                <w:color w:val="595959" w:themeColor="text1" w:themeTint="A6"/>
                <w:sz w:val="20"/>
                <w:szCs w:val="20"/>
              </w:rPr>
              <w:t>Mondelēz International</w:t>
            </w:r>
          </w:p>
        </w:tc>
        <w:tc>
          <w:tcPr>
            <w:tcW w:w="3838" w:type="dxa"/>
          </w:tcPr>
          <w:p w:rsidR="003843AC" w:rsidRPr="00DA5FC3" w:rsidRDefault="003843AC" w:rsidP="00DA5FC3">
            <w:pPr>
              <w:pStyle w:val="Tabeltekst"/>
              <w:keepLines w:val="0"/>
              <w:widowControl w:val="0"/>
              <w:jc w:val="left"/>
              <w:cnfStyle w:val="000000000000"/>
              <w:rPr>
                <w:color w:val="595959" w:themeColor="text1" w:themeTint="A6"/>
              </w:rPr>
            </w:pPr>
            <w:r w:rsidRPr="00DA5FC3">
              <w:rPr>
                <w:color w:val="595959" w:themeColor="text1" w:themeTint="A6"/>
              </w:rPr>
              <w:t>Transamerica Financial Life Insurance</w:t>
            </w:r>
          </w:p>
        </w:tc>
        <w:tc>
          <w:tcPr>
            <w:tcW w:w="852" w:type="dxa"/>
          </w:tcPr>
          <w:p w:rsidR="003843AC"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0.03</w:t>
            </w:r>
          </w:p>
        </w:tc>
        <w:tc>
          <w:tcPr>
            <w:tcW w:w="1274" w:type="dxa"/>
          </w:tcPr>
          <w:p w:rsidR="003843AC"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3.97</w:t>
            </w:r>
          </w:p>
        </w:tc>
        <w:tc>
          <w:tcPr>
            <w:tcW w:w="1274" w:type="dxa"/>
          </w:tcPr>
          <w:p w:rsidR="003843AC" w:rsidRPr="00DA5FC3" w:rsidRDefault="003843AC"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3843AC" w:rsidRPr="00DA5FC3" w:rsidRDefault="003843AC" w:rsidP="00DA5FC3">
            <w:pPr>
              <w:rPr>
                <w:color w:val="595959" w:themeColor="text1" w:themeTint="A6"/>
                <w:sz w:val="20"/>
                <w:szCs w:val="20"/>
              </w:rPr>
            </w:pPr>
            <w:r w:rsidRPr="00DA5FC3">
              <w:rPr>
                <w:color w:val="595959" w:themeColor="text1" w:themeTint="A6"/>
                <w:sz w:val="20"/>
                <w:szCs w:val="20"/>
              </w:rPr>
              <w:t xml:space="preserve">Mondelēz </w:t>
            </w:r>
            <w:r w:rsidRPr="00DA5FC3">
              <w:rPr>
                <w:color w:val="595959" w:themeColor="text1" w:themeTint="A6"/>
                <w:sz w:val="20"/>
                <w:szCs w:val="20"/>
              </w:rPr>
              <w:lastRenderedPageBreak/>
              <w:t>International</w:t>
            </w:r>
          </w:p>
        </w:tc>
        <w:tc>
          <w:tcPr>
            <w:tcW w:w="3838" w:type="dxa"/>
          </w:tcPr>
          <w:p w:rsidR="003843AC" w:rsidRPr="00DA5FC3" w:rsidRDefault="003843AC" w:rsidP="00DA5FC3">
            <w:pPr>
              <w:pStyle w:val="Tabeltekst"/>
              <w:keepLines w:val="0"/>
              <w:widowControl w:val="0"/>
              <w:jc w:val="left"/>
              <w:cnfStyle w:val="000000000000"/>
              <w:rPr>
                <w:color w:val="595959" w:themeColor="text1" w:themeTint="A6"/>
              </w:rPr>
            </w:pPr>
            <w:r w:rsidRPr="00DA5FC3">
              <w:rPr>
                <w:color w:val="595959" w:themeColor="text1" w:themeTint="A6"/>
              </w:rPr>
              <w:lastRenderedPageBreak/>
              <w:t>Transamerica Life Insurance Company</w:t>
            </w:r>
          </w:p>
        </w:tc>
        <w:tc>
          <w:tcPr>
            <w:tcW w:w="852" w:type="dxa"/>
          </w:tcPr>
          <w:p w:rsidR="003843AC"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0.33</w:t>
            </w:r>
          </w:p>
        </w:tc>
        <w:tc>
          <w:tcPr>
            <w:tcW w:w="1274" w:type="dxa"/>
          </w:tcPr>
          <w:p w:rsidR="003843AC"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42.57</w:t>
            </w:r>
          </w:p>
        </w:tc>
        <w:tc>
          <w:tcPr>
            <w:tcW w:w="1274" w:type="dxa"/>
          </w:tcPr>
          <w:p w:rsidR="003843AC" w:rsidRPr="00DA5FC3" w:rsidRDefault="003843AC"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9458D0" w:rsidRPr="00DA5FC3" w:rsidRDefault="009458D0" w:rsidP="00DA5FC3">
            <w:pPr>
              <w:rPr>
                <w:color w:val="595959" w:themeColor="text1" w:themeTint="A6"/>
                <w:sz w:val="20"/>
                <w:szCs w:val="20"/>
              </w:rPr>
            </w:pPr>
            <w:r w:rsidRPr="00DA5FC3">
              <w:rPr>
                <w:color w:val="595959" w:themeColor="text1" w:themeTint="A6"/>
                <w:sz w:val="20"/>
                <w:szCs w:val="20"/>
              </w:rPr>
              <w:lastRenderedPageBreak/>
              <w:t>Mondelēz International</w:t>
            </w:r>
          </w:p>
        </w:tc>
        <w:tc>
          <w:tcPr>
            <w:tcW w:w="3838" w:type="dxa"/>
          </w:tcPr>
          <w:p w:rsidR="009458D0" w:rsidRPr="00DA5FC3" w:rsidRDefault="009458D0" w:rsidP="00DA5FC3">
            <w:pPr>
              <w:pStyle w:val="Tabeltekst"/>
              <w:keepLines w:val="0"/>
              <w:widowControl w:val="0"/>
              <w:jc w:val="left"/>
              <w:cnfStyle w:val="000000000000"/>
              <w:rPr>
                <w:color w:val="595959" w:themeColor="text1" w:themeTint="A6"/>
              </w:rPr>
            </w:pPr>
            <w:r w:rsidRPr="00DA5FC3">
              <w:rPr>
                <w:color w:val="595959" w:themeColor="text1" w:themeTint="A6"/>
              </w:rPr>
              <w:t>Transamerica Partners</w:t>
            </w:r>
          </w:p>
        </w:tc>
        <w:tc>
          <w:tcPr>
            <w:tcW w:w="852"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0.04</w:t>
            </w:r>
          </w:p>
        </w:tc>
        <w:tc>
          <w:tcPr>
            <w:tcW w:w="1274"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5.64</w:t>
            </w:r>
          </w:p>
        </w:tc>
        <w:tc>
          <w:tcPr>
            <w:tcW w:w="1274"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31-12-2011</w:t>
            </w:r>
          </w:p>
        </w:tc>
      </w:tr>
      <w:tr w:rsidR="00DA5FC3" w:rsidRPr="00DA5FC3" w:rsidTr="00687325">
        <w:tc>
          <w:tcPr>
            <w:cnfStyle w:val="001000000000"/>
            <w:tcW w:w="1572" w:type="dxa"/>
          </w:tcPr>
          <w:p w:rsidR="009458D0" w:rsidRPr="00DA5FC3" w:rsidRDefault="009458D0" w:rsidP="00DA5FC3">
            <w:pPr>
              <w:rPr>
                <w:color w:val="595959" w:themeColor="text1" w:themeTint="A6"/>
                <w:sz w:val="20"/>
                <w:szCs w:val="20"/>
              </w:rPr>
            </w:pPr>
            <w:r w:rsidRPr="00DA5FC3">
              <w:rPr>
                <w:color w:val="595959" w:themeColor="text1" w:themeTint="A6"/>
                <w:sz w:val="20"/>
                <w:szCs w:val="20"/>
              </w:rPr>
              <w:t>Mondelēz International</w:t>
            </w:r>
          </w:p>
        </w:tc>
        <w:tc>
          <w:tcPr>
            <w:tcW w:w="3838" w:type="dxa"/>
          </w:tcPr>
          <w:p w:rsidR="009458D0" w:rsidRPr="00DA5FC3" w:rsidRDefault="009458D0" w:rsidP="00DA5FC3">
            <w:pPr>
              <w:pStyle w:val="Tabeltekst"/>
              <w:keepLines w:val="0"/>
              <w:widowControl w:val="0"/>
              <w:jc w:val="left"/>
              <w:cnfStyle w:val="000000000000"/>
              <w:rPr>
                <w:color w:val="595959" w:themeColor="text1" w:themeTint="A6"/>
              </w:rPr>
            </w:pPr>
            <w:r w:rsidRPr="00DA5FC3">
              <w:rPr>
                <w:color w:val="595959" w:themeColor="text1" w:themeTint="A6"/>
              </w:rPr>
              <w:t>Transamerica Series Trust</w:t>
            </w:r>
          </w:p>
        </w:tc>
        <w:tc>
          <w:tcPr>
            <w:tcW w:w="852"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0.01</w:t>
            </w:r>
          </w:p>
        </w:tc>
        <w:tc>
          <w:tcPr>
            <w:tcW w:w="1274"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1.34</w:t>
            </w:r>
          </w:p>
        </w:tc>
        <w:tc>
          <w:tcPr>
            <w:tcW w:w="1274"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9458D0" w:rsidRPr="00DA5FC3" w:rsidRDefault="003843AC" w:rsidP="00DA5FC3">
            <w:pPr>
              <w:pStyle w:val="Tabeltekst"/>
              <w:keepLines w:val="0"/>
              <w:widowControl w:val="0"/>
              <w:rPr>
                <w:color w:val="595959" w:themeColor="text1" w:themeTint="A6"/>
              </w:rPr>
            </w:pPr>
            <w:r w:rsidRPr="00DA5FC3">
              <w:rPr>
                <w:color w:val="595959" w:themeColor="text1" w:themeTint="A6"/>
              </w:rPr>
              <w:t>Mondelēz International</w:t>
            </w:r>
          </w:p>
        </w:tc>
        <w:tc>
          <w:tcPr>
            <w:tcW w:w="3838" w:type="dxa"/>
          </w:tcPr>
          <w:p w:rsidR="009458D0" w:rsidRPr="00DA5FC3" w:rsidRDefault="003843AC" w:rsidP="00DA5FC3">
            <w:pPr>
              <w:pStyle w:val="Tabeltekst"/>
              <w:keepLines w:val="0"/>
              <w:widowControl w:val="0"/>
              <w:jc w:val="left"/>
              <w:cnfStyle w:val="000000000000"/>
              <w:rPr>
                <w:color w:val="595959" w:themeColor="text1" w:themeTint="A6"/>
              </w:rPr>
            </w:pPr>
            <w:r w:rsidRPr="00DA5FC3">
              <w:rPr>
                <w:color w:val="595959" w:themeColor="text1" w:themeTint="A6"/>
              </w:rPr>
              <w:t>Western Reserve Life Assurance Company of Ohio</w:t>
            </w:r>
          </w:p>
        </w:tc>
        <w:tc>
          <w:tcPr>
            <w:tcW w:w="852"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0.05</w:t>
            </w:r>
          </w:p>
        </w:tc>
        <w:tc>
          <w:tcPr>
            <w:tcW w:w="1274"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6.08</w:t>
            </w:r>
          </w:p>
        </w:tc>
        <w:tc>
          <w:tcPr>
            <w:tcW w:w="1274" w:type="dxa"/>
          </w:tcPr>
          <w:p w:rsidR="009458D0" w:rsidRPr="00DA5FC3" w:rsidRDefault="003843AC"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9458D0" w:rsidRPr="00DA5FC3" w:rsidRDefault="00D76129" w:rsidP="00DA5FC3">
            <w:pPr>
              <w:pStyle w:val="Tabeltekst"/>
              <w:keepLines w:val="0"/>
              <w:widowControl w:val="0"/>
              <w:rPr>
                <w:color w:val="595959" w:themeColor="text1" w:themeTint="A6"/>
              </w:rPr>
            </w:pPr>
            <w:r w:rsidRPr="00DA5FC3">
              <w:rPr>
                <w:color w:val="595959" w:themeColor="text1" w:themeTint="A6"/>
              </w:rPr>
              <w:t>PepsiCo</w:t>
            </w:r>
          </w:p>
        </w:tc>
        <w:tc>
          <w:tcPr>
            <w:tcW w:w="3838" w:type="dxa"/>
          </w:tcPr>
          <w:p w:rsidR="009458D0" w:rsidRPr="00DA5FC3" w:rsidRDefault="00D76129" w:rsidP="00DA5FC3">
            <w:pPr>
              <w:pStyle w:val="Tabeltekst"/>
              <w:keepLines w:val="0"/>
              <w:widowControl w:val="0"/>
              <w:jc w:val="left"/>
              <w:cnfStyle w:val="000000000000"/>
              <w:rPr>
                <w:color w:val="595959" w:themeColor="text1" w:themeTint="A6"/>
              </w:rPr>
            </w:pPr>
            <w:r w:rsidRPr="00DA5FC3">
              <w:rPr>
                <w:color w:val="595959" w:themeColor="text1" w:themeTint="A6"/>
              </w:rPr>
              <w:t>Monumental Life Insurance Company</w:t>
            </w:r>
          </w:p>
        </w:tc>
        <w:tc>
          <w:tcPr>
            <w:tcW w:w="852" w:type="dxa"/>
          </w:tcPr>
          <w:p w:rsidR="009458D0" w:rsidRPr="00DA5FC3" w:rsidRDefault="00D76129" w:rsidP="00DA5FC3">
            <w:pPr>
              <w:keepLines w:val="0"/>
              <w:widowControl w:val="0"/>
              <w:cnfStyle w:val="000000000000"/>
              <w:rPr>
                <w:color w:val="595959" w:themeColor="text1" w:themeTint="A6"/>
                <w:sz w:val="20"/>
                <w:szCs w:val="20"/>
              </w:rPr>
            </w:pPr>
            <w:r w:rsidRPr="00DA5FC3">
              <w:rPr>
                <w:color w:val="595959" w:themeColor="text1" w:themeTint="A6"/>
                <w:sz w:val="20"/>
                <w:szCs w:val="20"/>
              </w:rPr>
              <w:t>0.09</w:t>
            </w:r>
          </w:p>
        </w:tc>
        <w:tc>
          <w:tcPr>
            <w:tcW w:w="1274" w:type="dxa"/>
          </w:tcPr>
          <w:p w:rsidR="009458D0" w:rsidRPr="00DA5FC3" w:rsidRDefault="00D76129" w:rsidP="00DA5FC3">
            <w:pPr>
              <w:keepLines w:val="0"/>
              <w:widowControl w:val="0"/>
              <w:cnfStyle w:val="000000000000"/>
              <w:rPr>
                <w:color w:val="595959" w:themeColor="text1" w:themeTint="A6"/>
                <w:sz w:val="20"/>
                <w:szCs w:val="20"/>
              </w:rPr>
            </w:pPr>
            <w:r w:rsidRPr="00DA5FC3">
              <w:rPr>
                <w:color w:val="595959" w:themeColor="text1" w:themeTint="A6"/>
                <w:sz w:val="20"/>
                <w:szCs w:val="20"/>
              </w:rPr>
              <w:t>18.51</w:t>
            </w:r>
          </w:p>
        </w:tc>
        <w:tc>
          <w:tcPr>
            <w:tcW w:w="1274" w:type="dxa"/>
          </w:tcPr>
          <w:p w:rsidR="009458D0" w:rsidRPr="00DA5FC3" w:rsidRDefault="00D76129"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93F1D" w:rsidRPr="00DA5FC3" w:rsidRDefault="00B93F1D" w:rsidP="00DA5FC3">
            <w:pPr>
              <w:rPr>
                <w:color w:val="595959" w:themeColor="text1" w:themeTint="A6"/>
                <w:sz w:val="20"/>
                <w:szCs w:val="20"/>
              </w:rPr>
            </w:pPr>
            <w:r w:rsidRPr="00DA5FC3">
              <w:rPr>
                <w:color w:val="595959" w:themeColor="text1" w:themeTint="A6"/>
                <w:sz w:val="20"/>
                <w:szCs w:val="20"/>
              </w:rPr>
              <w:t>PepsiCo</w:t>
            </w:r>
          </w:p>
        </w:tc>
        <w:tc>
          <w:tcPr>
            <w:tcW w:w="3838" w:type="dxa"/>
          </w:tcPr>
          <w:p w:rsidR="00B93F1D" w:rsidRPr="00DA5FC3" w:rsidRDefault="00B93F1D" w:rsidP="00DA5FC3">
            <w:pPr>
              <w:pStyle w:val="Tabeltekst"/>
              <w:keepLines w:val="0"/>
              <w:widowControl w:val="0"/>
              <w:jc w:val="left"/>
              <w:cnfStyle w:val="000000000000"/>
              <w:rPr>
                <w:color w:val="595959" w:themeColor="text1" w:themeTint="A6"/>
              </w:rPr>
            </w:pPr>
            <w:r w:rsidRPr="00DA5FC3">
              <w:rPr>
                <w:color w:val="595959" w:themeColor="text1" w:themeTint="A6"/>
              </w:rPr>
              <w:t>Transamerica Advisors Life Insurance</w:t>
            </w:r>
          </w:p>
        </w:tc>
        <w:tc>
          <w:tcPr>
            <w:tcW w:w="852"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0.05</w:t>
            </w:r>
          </w:p>
        </w:tc>
        <w:tc>
          <w:tcPr>
            <w:tcW w:w="1274"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11.31</w:t>
            </w:r>
          </w:p>
        </w:tc>
        <w:tc>
          <w:tcPr>
            <w:tcW w:w="1274" w:type="dxa"/>
          </w:tcPr>
          <w:p w:rsidR="00B93F1D" w:rsidRPr="00DA5FC3" w:rsidRDefault="00B93F1D"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93F1D" w:rsidRPr="00DA5FC3" w:rsidRDefault="00B93F1D" w:rsidP="00DA5FC3">
            <w:pPr>
              <w:rPr>
                <w:color w:val="595959" w:themeColor="text1" w:themeTint="A6"/>
                <w:sz w:val="20"/>
                <w:szCs w:val="20"/>
              </w:rPr>
            </w:pPr>
            <w:r w:rsidRPr="00DA5FC3">
              <w:rPr>
                <w:color w:val="595959" w:themeColor="text1" w:themeTint="A6"/>
                <w:sz w:val="20"/>
                <w:szCs w:val="20"/>
              </w:rPr>
              <w:t>PepsiCo</w:t>
            </w:r>
          </w:p>
        </w:tc>
        <w:tc>
          <w:tcPr>
            <w:tcW w:w="3838" w:type="dxa"/>
          </w:tcPr>
          <w:p w:rsidR="00B93F1D" w:rsidRPr="00DA5FC3" w:rsidRDefault="00B93F1D" w:rsidP="00DA5FC3">
            <w:pPr>
              <w:pStyle w:val="Tabeltekst"/>
              <w:keepLines w:val="0"/>
              <w:widowControl w:val="0"/>
              <w:jc w:val="left"/>
              <w:cnfStyle w:val="000000000000"/>
              <w:rPr>
                <w:color w:val="595959" w:themeColor="text1" w:themeTint="A6"/>
              </w:rPr>
            </w:pPr>
            <w:r w:rsidRPr="00DA5FC3">
              <w:rPr>
                <w:color w:val="595959" w:themeColor="text1" w:themeTint="A6"/>
              </w:rPr>
              <w:t>Transamerica Financial Life Insurance</w:t>
            </w:r>
          </w:p>
        </w:tc>
        <w:tc>
          <w:tcPr>
            <w:tcW w:w="852"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0.08</w:t>
            </w:r>
          </w:p>
        </w:tc>
        <w:tc>
          <w:tcPr>
            <w:tcW w:w="1274"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17.36</w:t>
            </w:r>
          </w:p>
        </w:tc>
        <w:tc>
          <w:tcPr>
            <w:tcW w:w="1274" w:type="dxa"/>
          </w:tcPr>
          <w:p w:rsidR="00B93F1D" w:rsidRPr="00DA5FC3" w:rsidRDefault="00B93F1D"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93F1D" w:rsidRPr="00DA5FC3" w:rsidRDefault="00B93F1D" w:rsidP="00DA5FC3">
            <w:pPr>
              <w:rPr>
                <w:color w:val="595959" w:themeColor="text1" w:themeTint="A6"/>
                <w:sz w:val="20"/>
                <w:szCs w:val="20"/>
              </w:rPr>
            </w:pPr>
            <w:r w:rsidRPr="00DA5FC3">
              <w:rPr>
                <w:color w:val="595959" w:themeColor="text1" w:themeTint="A6"/>
                <w:sz w:val="20"/>
                <w:szCs w:val="20"/>
              </w:rPr>
              <w:t>PepsiCo</w:t>
            </w:r>
          </w:p>
        </w:tc>
        <w:tc>
          <w:tcPr>
            <w:tcW w:w="3838" w:type="dxa"/>
          </w:tcPr>
          <w:p w:rsidR="00B93F1D" w:rsidRPr="00DA5FC3" w:rsidRDefault="00B93F1D" w:rsidP="00DA5FC3">
            <w:pPr>
              <w:pStyle w:val="Tabeltekst"/>
              <w:keepLines w:val="0"/>
              <w:widowControl w:val="0"/>
              <w:jc w:val="left"/>
              <w:cnfStyle w:val="000000000000"/>
              <w:rPr>
                <w:color w:val="595959" w:themeColor="text1" w:themeTint="A6"/>
              </w:rPr>
            </w:pPr>
            <w:r w:rsidRPr="00DA5FC3">
              <w:rPr>
                <w:color w:val="595959" w:themeColor="text1" w:themeTint="A6"/>
              </w:rPr>
              <w:t>Transamerica Life Insurance Company</w:t>
            </w:r>
          </w:p>
        </w:tc>
        <w:tc>
          <w:tcPr>
            <w:tcW w:w="852"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0.44</w:t>
            </w:r>
          </w:p>
        </w:tc>
        <w:tc>
          <w:tcPr>
            <w:tcW w:w="1274"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95.05</w:t>
            </w:r>
          </w:p>
        </w:tc>
        <w:tc>
          <w:tcPr>
            <w:tcW w:w="1274" w:type="dxa"/>
          </w:tcPr>
          <w:p w:rsidR="00B93F1D" w:rsidRPr="00DA5FC3" w:rsidRDefault="00B93F1D"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93F1D" w:rsidRPr="00DA5FC3" w:rsidRDefault="00B93F1D" w:rsidP="00DA5FC3">
            <w:pPr>
              <w:rPr>
                <w:color w:val="595959" w:themeColor="text1" w:themeTint="A6"/>
                <w:sz w:val="20"/>
                <w:szCs w:val="20"/>
              </w:rPr>
            </w:pPr>
            <w:r w:rsidRPr="00DA5FC3">
              <w:rPr>
                <w:color w:val="595959" w:themeColor="text1" w:themeTint="A6"/>
                <w:sz w:val="20"/>
                <w:szCs w:val="20"/>
              </w:rPr>
              <w:t>PepsiCo</w:t>
            </w:r>
          </w:p>
        </w:tc>
        <w:tc>
          <w:tcPr>
            <w:tcW w:w="3838" w:type="dxa"/>
          </w:tcPr>
          <w:p w:rsidR="00B93F1D" w:rsidRPr="00DA5FC3" w:rsidRDefault="00B93F1D" w:rsidP="00DA5FC3">
            <w:pPr>
              <w:pStyle w:val="Tabeltekst"/>
              <w:keepLines w:val="0"/>
              <w:widowControl w:val="0"/>
              <w:jc w:val="left"/>
              <w:cnfStyle w:val="000000000000"/>
              <w:rPr>
                <w:color w:val="595959" w:themeColor="text1" w:themeTint="A6"/>
              </w:rPr>
            </w:pPr>
            <w:r w:rsidRPr="00DA5FC3">
              <w:rPr>
                <w:color w:val="595959" w:themeColor="text1" w:themeTint="A6"/>
              </w:rPr>
              <w:t>Transamerica Partners</w:t>
            </w:r>
          </w:p>
        </w:tc>
        <w:tc>
          <w:tcPr>
            <w:tcW w:w="852"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0.02</w:t>
            </w:r>
          </w:p>
        </w:tc>
        <w:tc>
          <w:tcPr>
            <w:tcW w:w="1274"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3.84</w:t>
            </w:r>
          </w:p>
        </w:tc>
        <w:tc>
          <w:tcPr>
            <w:tcW w:w="1274" w:type="dxa"/>
          </w:tcPr>
          <w:p w:rsidR="00B93F1D" w:rsidRPr="00DA5FC3" w:rsidRDefault="00B93F1D"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93F1D" w:rsidRPr="00DA5FC3" w:rsidRDefault="00B93F1D" w:rsidP="00DA5FC3">
            <w:pPr>
              <w:rPr>
                <w:color w:val="595959" w:themeColor="text1" w:themeTint="A6"/>
                <w:sz w:val="20"/>
                <w:szCs w:val="20"/>
              </w:rPr>
            </w:pPr>
            <w:r w:rsidRPr="00DA5FC3">
              <w:rPr>
                <w:color w:val="595959" w:themeColor="text1" w:themeTint="A6"/>
                <w:sz w:val="20"/>
                <w:szCs w:val="20"/>
              </w:rPr>
              <w:t>PepsiCo</w:t>
            </w:r>
          </w:p>
        </w:tc>
        <w:tc>
          <w:tcPr>
            <w:tcW w:w="3838" w:type="dxa"/>
          </w:tcPr>
          <w:p w:rsidR="00B93F1D" w:rsidRPr="00DA5FC3" w:rsidRDefault="00B93F1D" w:rsidP="00DA5FC3">
            <w:pPr>
              <w:pStyle w:val="Tabeltekst"/>
              <w:keepLines w:val="0"/>
              <w:widowControl w:val="0"/>
              <w:jc w:val="left"/>
              <w:cnfStyle w:val="000000000000"/>
              <w:rPr>
                <w:color w:val="595959" w:themeColor="text1" w:themeTint="A6"/>
              </w:rPr>
            </w:pPr>
            <w:r w:rsidRPr="00DA5FC3">
              <w:rPr>
                <w:color w:val="595959" w:themeColor="text1" w:themeTint="A6"/>
              </w:rPr>
              <w:t>Transamerica Series Trust</w:t>
            </w:r>
          </w:p>
        </w:tc>
        <w:tc>
          <w:tcPr>
            <w:tcW w:w="852"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0.01</w:t>
            </w:r>
          </w:p>
        </w:tc>
        <w:tc>
          <w:tcPr>
            <w:tcW w:w="1274" w:type="dxa"/>
          </w:tcPr>
          <w:p w:rsidR="00B93F1D" w:rsidRPr="00DA5FC3" w:rsidRDefault="00B93F1D" w:rsidP="00DA5FC3">
            <w:pPr>
              <w:keepLines w:val="0"/>
              <w:widowControl w:val="0"/>
              <w:cnfStyle w:val="000000000000"/>
              <w:rPr>
                <w:color w:val="595959" w:themeColor="text1" w:themeTint="A6"/>
                <w:sz w:val="20"/>
                <w:szCs w:val="20"/>
              </w:rPr>
            </w:pPr>
            <w:r w:rsidRPr="00DA5FC3">
              <w:rPr>
                <w:color w:val="595959" w:themeColor="text1" w:themeTint="A6"/>
                <w:sz w:val="20"/>
                <w:szCs w:val="20"/>
              </w:rPr>
              <w:t>1.22</w:t>
            </w:r>
          </w:p>
        </w:tc>
        <w:tc>
          <w:tcPr>
            <w:tcW w:w="1274" w:type="dxa"/>
          </w:tcPr>
          <w:p w:rsidR="00B93F1D" w:rsidRPr="00DA5FC3" w:rsidRDefault="00B93F1D"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Borders>
              <w:bottom w:val="single" w:sz="4" w:space="0" w:color="9FCB3B"/>
            </w:tcBorders>
          </w:tcPr>
          <w:p w:rsidR="005A3D52" w:rsidRPr="00DA5FC3" w:rsidRDefault="005A3D52" w:rsidP="00DA5FC3">
            <w:pPr>
              <w:rPr>
                <w:color w:val="595959" w:themeColor="text1" w:themeTint="A6"/>
                <w:sz w:val="20"/>
                <w:szCs w:val="20"/>
              </w:rPr>
            </w:pPr>
            <w:r w:rsidRPr="00DA5FC3">
              <w:rPr>
                <w:color w:val="595959" w:themeColor="text1" w:themeTint="A6"/>
                <w:sz w:val="20"/>
                <w:szCs w:val="20"/>
              </w:rPr>
              <w:t>Unilever</w:t>
            </w:r>
          </w:p>
        </w:tc>
        <w:tc>
          <w:tcPr>
            <w:tcW w:w="3838" w:type="dxa"/>
            <w:tcBorders>
              <w:bottom w:val="single" w:sz="4" w:space="0" w:color="9FCB3B"/>
            </w:tcBorders>
          </w:tcPr>
          <w:p w:rsidR="005A3D52" w:rsidRPr="00DA5FC3" w:rsidRDefault="005A3D52" w:rsidP="00DA5FC3">
            <w:pPr>
              <w:pStyle w:val="Tabeltekst"/>
              <w:keepLines w:val="0"/>
              <w:widowControl w:val="0"/>
              <w:jc w:val="left"/>
              <w:cnfStyle w:val="000000000000"/>
              <w:rPr>
                <w:color w:val="595959" w:themeColor="text1" w:themeTint="A6"/>
              </w:rPr>
            </w:pPr>
            <w:r w:rsidRPr="00DA5FC3">
              <w:rPr>
                <w:color w:val="595959" w:themeColor="text1" w:themeTint="A6"/>
              </w:rPr>
              <w:t>Transamerica Life Insurance Company</w:t>
            </w:r>
          </w:p>
        </w:tc>
        <w:tc>
          <w:tcPr>
            <w:tcW w:w="852" w:type="dxa"/>
            <w:tcBorders>
              <w:bottom w:val="single" w:sz="4" w:space="0" w:color="9FCB3B"/>
            </w:tcBorders>
          </w:tcPr>
          <w:p w:rsidR="005A3D52" w:rsidRPr="00DA5FC3" w:rsidRDefault="005A3D52" w:rsidP="00DA5FC3">
            <w:pPr>
              <w:keepLines w:val="0"/>
              <w:widowControl w:val="0"/>
              <w:cnfStyle w:val="000000000000"/>
              <w:rPr>
                <w:color w:val="595959" w:themeColor="text1" w:themeTint="A6"/>
                <w:sz w:val="20"/>
                <w:szCs w:val="20"/>
              </w:rPr>
            </w:pPr>
            <w:r w:rsidRPr="00DA5FC3">
              <w:rPr>
                <w:color w:val="595959" w:themeColor="text1" w:themeTint="A6"/>
                <w:sz w:val="20"/>
                <w:szCs w:val="20"/>
              </w:rPr>
              <w:t>0.45</w:t>
            </w:r>
          </w:p>
        </w:tc>
        <w:tc>
          <w:tcPr>
            <w:tcW w:w="1274" w:type="dxa"/>
            <w:tcBorders>
              <w:bottom w:val="single" w:sz="4" w:space="0" w:color="9FCB3B"/>
            </w:tcBorders>
          </w:tcPr>
          <w:p w:rsidR="005A3D52" w:rsidRPr="00DA5FC3" w:rsidRDefault="005A3D52" w:rsidP="00DA5FC3">
            <w:pPr>
              <w:keepLines w:val="0"/>
              <w:widowControl w:val="0"/>
              <w:cnfStyle w:val="000000000000"/>
              <w:rPr>
                <w:color w:val="595959" w:themeColor="text1" w:themeTint="A6"/>
                <w:sz w:val="20"/>
                <w:szCs w:val="20"/>
              </w:rPr>
            </w:pPr>
            <w:r w:rsidRPr="00DA5FC3">
              <w:rPr>
                <w:color w:val="595959" w:themeColor="text1" w:themeTint="A6"/>
                <w:sz w:val="20"/>
                <w:szCs w:val="20"/>
              </w:rPr>
              <w:t>32.28</w:t>
            </w:r>
          </w:p>
        </w:tc>
        <w:tc>
          <w:tcPr>
            <w:tcW w:w="1274" w:type="dxa"/>
            <w:tcBorders>
              <w:bottom w:val="single" w:sz="4" w:space="0" w:color="9FCB3B"/>
            </w:tcBorders>
          </w:tcPr>
          <w:p w:rsidR="005A3D52" w:rsidRPr="00DA5FC3" w:rsidRDefault="005A3D52"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Borders>
              <w:top w:val="single" w:sz="4" w:space="0" w:color="9FCB3B"/>
              <w:bottom w:val="single" w:sz="4" w:space="0" w:color="9FCB3B"/>
            </w:tcBorders>
          </w:tcPr>
          <w:p w:rsidR="00EF0DA4" w:rsidRPr="00DA5FC3" w:rsidRDefault="00EF0DA4" w:rsidP="00DA5FC3">
            <w:pPr>
              <w:pStyle w:val="Tabeltekst"/>
              <w:keepLines w:val="0"/>
              <w:widowControl w:val="0"/>
              <w:rPr>
                <w:b/>
                <w:color w:val="595959" w:themeColor="text1" w:themeTint="A6"/>
              </w:rPr>
            </w:pPr>
            <w:r w:rsidRPr="00DA5FC3">
              <w:rPr>
                <w:b/>
                <w:color w:val="595959" w:themeColor="text1" w:themeTint="A6"/>
              </w:rPr>
              <w:t>Palm oil, sugar and soy traders</w:t>
            </w:r>
          </w:p>
        </w:tc>
        <w:tc>
          <w:tcPr>
            <w:tcW w:w="3838" w:type="dxa"/>
            <w:tcBorders>
              <w:top w:val="single" w:sz="4" w:space="0" w:color="9FCB3B"/>
              <w:bottom w:val="single" w:sz="4" w:space="0" w:color="9FCB3B"/>
            </w:tcBorders>
          </w:tcPr>
          <w:p w:rsidR="00EF0DA4" w:rsidRPr="00DA5FC3" w:rsidRDefault="00EF0DA4" w:rsidP="00DA5FC3">
            <w:pPr>
              <w:pStyle w:val="Tabeltekst"/>
              <w:keepLines w:val="0"/>
              <w:widowControl w:val="0"/>
              <w:jc w:val="left"/>
              <w:cnfStyle w:val="000000000000"/>
              <w:rPr>
                <w:b/>
                <w:color w:val="595959" w:themeColor="text1" w:themeTint="A6"/>
              </w:rPr>
            </w:pPr>
            <w:r w:rsidRPr="00DA5FC3">
              <w:rPr>
                <w:b/>
                <w:color w:val="595959" w:themeColor="text1" w:themeTint="A6"/>
              </w:rPr>
              <w:t>Investor</w:t>
            </w:r>
          </w:p>
        </w:tc>
        <w:tc>
          <w:tcPr>
            <w:tcW w:w="852" w:type="dxa"/>
            <w:tcBorders>
              <w:top w:val="single" w:sz="4" w:space="0" w:color="9FCB3B"/>
              <w:bottom w:val="single" w:sz="4" w:space="0" w:color="9FCB3B"/>
            </w:tcBorders>
          </w:tcPr>
          <w:p w:rsidR="00EF0DA4" w:rsidRPr="00DA5FC3" w:rsidRDefault="00EF0DA4" w:rsidP="00DA5FC3">
            <w:pPr>
              <w:keepLines w:val="0"/>
              <w:widowControl w:val="0"/>
              <w:cnfStyle w:val="000000000000"/>
              <w:rPr>
                <w:b/>
                <w:color w:val="595959" w:themeColor="text1" w:themeTint="A6"/>
                <w:sz w:val="20"/>
                <w:szCs w:val="20"/>
              </w:rPr>
            </w:pPr>
            <w:r w:rsidRPr="00DA5FC3">
              <w:rPr>
                <w:b/>
                <w:color w:val="595959" w:themeColor="text1" w:themeTint="A6"/>
                <w:sz w:val="20"/>
                <w:szCs w:val="20"/>
              </w:rPr>
              <w:t>% of all bonds</w:t>
            </w:r>
          </w:p>
        </w:tc>
        <w:tc>
          <w:tcPr>
            <w:tcW w:w="1274" w:type="dxa"/>
            <w:tcBorders>
              <w:top w:val="single" w:sz="4" w:space="0" w:color="9FCB3B"/>
              <w:bottom w:val="single" w:sz="4" w:space="0" w:color="9FCB3B"/>
            </w:tcBorders>
          </w:tcPr>
          <w:p w:rsidR="00EF0DA4" w:rsidRPr="00DA5FC3" w:rsidRDefault="00EF0DA4" w:rsidP="00DA5FC3">
            <w:pPr>
              <w:pStyle w:val="Tabeltekst"/>
              <w:keepLines w:val="0"/>
              <w:widowControl w:val="0"/>
              <w:cnfStyle w:val="000000000000"/>
              <w:rPr>
                <w:b/>
                <w:color w:val="595959" w:themeColor="text1" w:themeTint="A6"/>
              </w:rPr>
            </w:pPr>
            <w:r w:rsidRPr="00DA5FC3">
              <w:rPr>
                <w:b/>
                <w:color w:val="595959" w:themeColor="text1" w:themeTint="A6"/>
              </w:rPr>
              <w:t xml:space="preserve">Value </w:t>
            </w:r>
          </w:p>
          <w:p w:rsidR="00EF0DA4" w:rsidRPr="00DA5FC3" w:rsidRDefault="00EF0DA4" w:rsidP="00DA5FC3">
            <w:pPr>
              <w:keepLines w:val="0"/>
              <w:widowControl w:val="0"/>
              <w:cnfStyle w:val="000000000000"/>
              <w:rPr>
                <w:b/>
                <w:color w:val="595959" w:themeColor="text1" w:themeTint="A6"/>
                <w:sz w:val="20"/>
                <w:szCs w:val="20"/>
              </w:rPr>
            </w:pPr>
            <w:r w:rsidRPr="00DA5FC3">
              <w:rPr>
                <w:b/>
                <w:color w:val="595959" w:themeColor="text1" w:themeTint="A6"/>
                <w:sz w:val="20"/>
                <w:szCs w:val="20"/>
              </w:rPr>
              <w:t>(€ million)</w:t>
            </w:r>
          </w:p>
        </w:tc>
        <w:tc>
          <w:tcPr>
            <w:tcW w:w="1274" w:type="dxa"/>
            <w:tcBorders>
              <w:top w:val="single" w:sz="4" w:space="0" w:color="9FCB3B"/>
              <w:bottom w:val="single" w:sz="4" w:space="0" w:color="9FCB3B"/>
            </w:tcBorders>
          </w:tcPr>
          <w:p w:rsidR="00EF0DA4" w:rsidRPr="00DA5FC3" w:rsidRDefault="00EF0DA4" w:rsidP="00DA5FC3">
            <w:pPr>
              <w:keepLines w:val="0"/>
              <w:widowControl w:val="0"/>
              <w:cnfStyle w:val="000000000000"/>
              <w:rPr>
                <w:b/>
                <w:color w:val="595959" w:themeColor="text1" w:themeTint="A6"/>
                <w:sz w:val="20"/>
                <w:szCs w:val="20"/>
              </w:rPr>
            </w:pPr>
            <w:r w:rsidRPr="00DA5FC3">
              <w:rPr>
                <w:b/>
                <w:color w:val="595959" w:themeColor="text1" w:themeTint="A6"/>
                <w:sz w:val="20"/>
                <w:szCs w:val="20"/>
              </w:rPr>
              <w:t>Filing date</w:t>
            </w:r>
          </w:p>
        </w:tc>
      </w:tr>
      <w:tr w:rsidR="00DA5FC3" w:rsidRPr="00DA5FC3" w:rsidTr="00687325">
        <w:tc>
          <w:tcPr>
            <w:cnfStyle w:val="001000000000"/>
            <w:tcW w:w="1572" w:type="dxa"/>
            <w:tcBorders>
              <w:top w:val="single" w:sz="4" w:space="0" w:color="9FCB3B"/>
            </w:tcBorders>
          </w:tcPr>
          <w:p w:rsidR="00B93F1D" w:rsidRPr="00DA5FC3" w:rsidRDefault="005A3D52" w:rsidP="00DA5FC3">
            <w:pPr>
              <w:pStyle w:val="Tabeltekst"/>
              <w:keepLines w:val="0"/>
              <w:widowControl w:val="0"/>
              <w:rPr>
                <w:color w:val="595959" w:themeColor="text1" w:themeTint="A6"/>
              </w:rPr>
            </w:pPr>
            <w:r w:rsidRPr="00DA5FC3">
              <w:rPr>
                <w:color w:val="595959" w:themeColor="text1" w:themeTint="A6"/>
              </w:rPr>
              <w:t>Archer Daniels Midland</w:t>
            </w:r>
          </w:p>
        </w:tc>
        <w:tc>
          <w:tcPr>
            <w:tcW w:w="3838" w:type="dxa"/>
            <w:tcBorders>
              <w:top w:val="single" w:sz="4" w:space="0" w:color="9FCB3B"/>
            </w:tcBorders>
          </w:tcPr>
          <w:p w:rsidR="00B93F1D" w:rsidRPr="00DA5FC3" w:rsidRDefault="005A3D52" w:rsidP="00DA5FC3">
            <w:pPr>
              <w:pStyle w:val="Tabeltekst"/>
              <w:keepLines w:val="0"/>
              <w:widowControl w:val="0"/>
              <w:jc w:val="left"/>
              <w:cnfStyle w:val="000000000000"/>
              <w:rPr>
                <w:color w:val="595959" w:themeColor="text1" w:themeTint="A6"/>
              </w:rPr>
            </w:pPr>
            <w:r w:rsidRPr="00DA5FC3">
              <w:rPr>
                <w:color w:val="595959" w:themeColor="text1" w:themeTint="A6"/>
              </w:rPr>
              <w:t>Aegon USA Investment Management</w:t>
            </w:r>
          </w:p>
        </w:tc>
        <w:tc>
          <w:tcPr>
            <w:tcW w:w="852" w:type="dxa"/>
            <w:tcBorders>
              <w:top w:val="single" w:sz="4" w:space="0" w:color="9FCB3B"/>
            </w:tcBorders>
          </w:tcPr>
          <w:p w:rsidR="00B93F1D" w:rsidRPr="00DA5FC3" w:rsidRDefault="005A3D52" w:rsidP="00DA5FC3">
            <w:pPr>
              <w:keepLines w:val="0"/>
              <w:widowControl w:val="0"/>
              <w:cnfStyle w:val="000000000000"/>
              <w:rPr>
                <w:color w:val="595959" w:themeColor="text1" w:themeTint="A6"/>
                <w:sz w:val="20"/>
                <w:szCs w:val="20"/>
              </w:rPr>
            </w:pPr>
            <w:r w:rsidRPr="00DA5FC3">
              <w:rPr>
                <w:color w:val="595959" w:themeColor="text1" w:themeTint="A6"/>
                <w:sz w:val="20"/>
                <w:szCs w:val="20"/>
              </w:rPr>
              <w:t>0.10</w:t>
            </w:r>
          </w:p>
        </w:tc>
        <w:tc>
          <w:tcPr>
            <w:tcW w:w="1274" w:type="dxa"/>
            <w:tcBorders>
              <w:top w:val="single" w:sz="4" w:space="0" w:color="9FCB3B"/>
            </w:tcBorders>
          </w:tcPr>
          <w:p w:rsidR="00B93F1D" w:rsidRPr="00DA5FC3" w:rsidRDefault="005A3D52" w:rsidP="00DA5FC3">
            <w:pPr>
              <w:keepLines w:val="0"/>
              <w:widowControl w:val="0"/>
              <w:cnfStyle w:val="000000000000"/>
              <w:rPr>
                <w:color w:val="595959" w:themeColor="text1" w:themeTint="A6"/>
                <w:sz w:val="20"/>
                <w:szCs w:val="20"/>
              </w:rPr>
            </w:pPr>
            <w:r w:rsidRPr="00DA5FC3">
              <w:rPr>
                <w:color w:val="595959" w:themeColor="text1" w:themeTint="A6"/>
                <w:sz w:val="20"/>
                <w:szCs w:val="20"/>
              </w:rPr>
              <w:t>4.90</w:t>
            </w:r>
          </w:p>
        </w:tc>
        <w:tc>
          <w:tcPr>
            <w:tcW w:w="1274" w:type="dxa"/>
            <w:tcBorders>
              <w:top w:val="single" w:sz="4" w:space="0" w:color="9FCB3B"/>
            </w:tcBorders>
          </w:tcPr>
          <w:p w:rsidR="00B93F1D" w:rsidRPr="00DA5FC3" w:rsidRDefault="00EF0DA4" w:rsidP="00DA5FC3">
            <w:pPr>
              <w:keepLines w:val="0"/>
              <w:widowControl w:val="0"/>
              <w:cnfStyle w:val="000000000000"/>
              <w:rPr>
                <w:color w:val="595959" w:themeColor="text1" w:themeTint="A6"/>
                <w:sz w:val="20"/>
                <w:szCs w:val="20"/>
              </w:rPr>
            </w:pPr>
            <w:r w:rsidRPr="00DA5FC3">
              <w:rPr>
                <w:color w:val="595959" w:themeColor="text1" w:themeTint="A6"/>
                <w:sz w:val="20"/>
                <w:szCs w:val="20"/>
              </w:rPr>
              <w:t>30-06-2013</w:t>
            </w:r>
          </w:p>
        </w:tc>
      </w:tr>
      <w:tr w:rsidR="00DA5FC3" w:rsidRPr="00DA5FC3" w:rsidTr="00687325">
        <w:tc>
          <w:tcPr>
            <w:cnfStyle w:val="001000000000"/>
            <w:tcW w:w="1572" w:type="dxa"/>
          </w:tcPr>
          <w:p w:rsidR="00B93F1D" w:rsidRPr="00DA5FC3" w:rsidRDefault="00EF0DA4" w:rsidP="00DA5FC3">
            <w:pPr>
              <w:pStyle w:val="Tabeltekst"/>
              <w:keepLines w:val="0"/>
              <w:widowControl w:val="0"/>
              <w:rPr>
                <w:color w:val="595959" w:themeColor="text1" w:themeTint="A6"/>
              </w:rPr>
            </w:pPr>
            <w:r w:rsidRPr="00DA5FC3">
              <w:rPr>
                <w:color w:val="595959" w:themeColor="text1" w:themeTint="A6"/>
              </w:rPr>
              <w:t>Archer Daniels Midland</w:t>
            </w:r>
          </w:p>
        </w:tc>
        <w:tc>
          <w:tcPr>
            <w:tcW w:w="3838" w:type="dxa"/>
          </w:tcPr>
          <w:p w:rsidR="00B93F1D" w:rsidRPr="00DA5FC3" w:rsidRDefault="00EF0DA4" w:rsidP="00DA5FC3">
            <w:pPr>
              <w:pStyle w:val="Tabeltekst"/>
              <w:keepLines w:val="0"/>
              <w:widowControl w:val="0"/>
              <w:jc w:val="left"/>
              <w:cnfStyle w:val="000000000000"/>
              <w:rPr>
                <w:color w:val="595959" w:themeColor="text1" w:themeTint="A6"/>
              </w:rPr>
            </w:pPr>
            <w:r w:rsidRPr="00DA5FC3">
              <w:rPr>
                <w:color w:val="595959" w:themeColor="text1" w:themeTint="A6"/>
              </w:rPr>
              <w:t>Monumental Life Insurance Company</w:t>
            </w:r>
          </w:p>
        </w:tc>
        <w:tc>
          <w:tcPr>
            <w:tcW w:w="852" w:type="dxa"/>
          </w:tcPr>
          <w:p w:rsidR="00B93F1D" w:rsidRPr="00DA5FC3" w:rsidRDefault="00EF0DA4" w:rsidP="00DA5FC3">
            <w:pPr>
              <w:keepLines w:val="0"/>
              <w:widowControl w:val="0"/>
              <w:cnfStyle w:val="000000000000"/>
              <w:rPr>
                <w:color w:val="595959" w:themeColor="text1" w:themeTint="A6"/>
                <w:sz w:val="20"/>
                <w:szCs w:val="20"/>
              </w:rPr>
            </w:pPr>
            <w:r w:rsidRPr="00DA5FC3">
              <w:rPr>
                <w:color w:val="595959" w:themeColor="text1" w:themeTint="A6"/>
                <w:sz w:val="20"/>
                <w:szCs w:val="20"/>
              </w:rPr>
              <w:t>0.50</w:t>
            </w:r>
          </w:p>
        </w:tc>
        <w:tc>
          <w:tcPr>
            <w:tcW w:w="1274" w:type="dxa"/>
          </w:tcPr>
          <w:p w:rsidR="00B93F1D" w:rsidRPr="00DA5FC3" w:rsidRDefault="00EF0DA4" w:rsidP="00DA5FC3">
            <w:pPr>
              <w:keepLines w:val="0"/>
              <w:widowControl w:val="0"/>
              <w:cnfStyle w:val="000000000000"/>
              <w:rPr>
                <w:color w:val="595959" w:themeColor="text1" w:themeTint="A6"/>
                <w:sz w:val="20"/>
                <w:szCs w:val="20"/>
              </w:rPr>
            </w:pPr>
            <w:r w:rsidRPr="00DA5FC3">
              <w:rPr>
                <w:color w:val="595959" w:themeColor="text1" w:themeTint="A6"/>
                <w:sz w:val="20"/>
                <w:szCs w:val="20"/>
              </w:rPr>
              <w:t>24.94</w:t>
            </w:r>
          </w:p>
        </w:tc>
        <w:tc>
          <w:tcPr>
            <w:tcW w:w="1274" w:type="dxa"/>
          </w:tcPr>
          <w:p w:rsidR="00B93F1D" w:rsidRPr="00DA5FC3" w:rsidRDefault="00EF0DA4"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507A9" w:rsidRPr="00DA5FC3" w:rsidRDefault="00B507A9" w:rsidP="00DA5FC3">
            <w:pPr>
              <w:rPr>
                <w:color w:val="595959" w:themeColor="text1" w:themeTint="A6"/>
                <w:sz w:val="20"/>
                <w:szCs w:val="20"/>
              </w:rPr>
            </w:pPr>
            <w:r w:rsidRPr="00DA5FC3">
              <w:rPr>
                <w:color w:val="595959" w:themeColor="text1" w:themeTint="A6"/>
                <w:sz w:val="20"/>
                <w:szCs w:val="20"/>
              </w:rPr>
              <w:t>Archer Daniels Midland</w:t>
            </w:r>
          </w:p>
        </w:tc>
        <w:tc>
          <w:tcPr>
            <w:tcW w:w="3838" w:type="dxa"/>
          </w:tcPr>
          <w:p w:rsidR="00B507A9" w:rsidRPr="00DA5FC3" w:rsidRDefault="00B507A9" w:rsidP="00DA5FC3">
            <w:pPr>
              <w:pStyle w:val="Tabeltekst"/>
              <w:keepLines w:val="0"/>
              <w:widowControl w:val="0"/>
              <w:jc w:val="left"/>
              <w:cnfStyle w:val="000000000000"/>
              <w:rPr>
                <w:color w:val="595959" w:themeColor="text1" w:themeTint="A6"/>
              </w:rPr>
            </w:pPr>
            <w:r w:rsidRPr="00DA5FC3">
              <w:rPr>
                <w:color w:val="595959" w:themeColor="text1" w:themeTint="A6"/>
              </w:rPr>
              <w:t>Transamerica Financial Life Insurance</w:t>
            </w:r>
          </w:p>
        </w:tc>
        <w:tc>
          <w:tcPr>
            <w:tcW w:w="852" w:type="dxa"/>
          </w:tcPr>
          <w:p w:rsidR="00B507A9" w:rsidRPr="00DA5FC3" w:rsidRDefault="00B507A9" w:rsidP="00DA5FC3">
            <w:pPr>
              <w:keepLines w:val="0"/>
              <w:widowControl w:val="0"/>
              <w:cnfStyle w:val="000000000000"/>
              <w:rPr>
                <w:color w:val="595959" w:themeColor="text1" w:themeTint="A6"/>
                <w:sz w:val="20"/>
                <w:szCs w:val="20"/>
              </w:rPr>
            </w:pPr>
            <w:r w:rsidRPr="00DA5FC3">
              <w:rPr>
                <w:color w:val="595959" w:themeColor="text1" w:themeTint="A6"/>
                <w:sz w:val="20"/>
                <w:szCs w:val="20"/>
              </w:rPr>
              <w:t>0.18</w:t>
            </w:r>
          </w:p>
        </w:tc>
        <w:tc>
          <w:tcPr>
            <w:tcW w:w="1274" w:type="dxa"/>
          </w:tcPr>
          <w:p w:rsidR="00B507A9" w:rsidRPr="00DA5FC3" w:rsidRDefault="00B507A9" w:rsidP="00DA5FC3">
            <w:pPr>
              <w:keepLines w:val="0"/>
              <w:widowControl w:val="0"/>
              <w:cnfStyle w:val="000000000000"/>
              <w:rPr>
                <w:color w:val="595959" w:themeColor="text1" w:themeTint="A6"/>
                <w:sz w:val="20"/>
                <w:szCs w:val="20"/>
              </w:rPr>
            </w:pPr>
            <w:r w:rsidRPr="00DA5FC3">
              <w:rPr>
                <w:color w:val="595959" w:themeColor="text1" w:themeTint="A6"/>
                <w:sz w:val="20"/>
                <w:szCs w:val="20"/>
              </w:rPr>
              <w:t>8.84</w:t>
            </w:r>
          </w:p>
        </w:tc>
        <w:tc>
          <w:tcPr>
            <w:tcW w:w="1274" w:type="dxa"/>
          </w:tcPr>
          <w:p w:rsidR="00B507A9" w:rsidRPr="00DA5FC3" w:rsidRDefault="00B507A9"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507A9" w:rsidRPr="00DA5FC3" w:rsidRDefault="00B507A9" w:rsidP="00DA5FC3">
            <w:pPr>
              <w:rPr>
                <w:color w:val="595959" w:themeColor="text1" w:themeTint="A6"/>
                <w:sz w:val="20"/>
                <w:szCs w:val="20"/>
              </w:rPr>
            </w:pPr>
            <w:r w:rsidRPr="00DA5FC3">
              <w:rPr>
                <w:color w:val="595959" w:themeColor="text1" w:themeTint="A6"/>
                <w:sz w:val="20"/>
                <w:szCs w:val="20"/>
              </w:rPr>
              <w:t>Archer Daniels Midland</w:t>
            </w:r>
          </w:p>
        </w:tc>
        <w:tc>
          <w:tcPr>
            <w:tcW w:w="3838" w:type="dxa"/>
          </w:tcPr>
          <w:p w:rsidR="00B507A9" w:rsidRPr="00DA5FC3" w:rsidRDefault="00B507A9" w:rsidP="00DA5FC3">
            <w:pPr>
              <w:pStyle w:val="Tabeltekst"/>
              <w:keepLines w:val="0"/>
              <w:widowControl w:val="0"/>
              <w:jc w:val="left"/>
              <w:cnfStyle w:val="000000000000"/>
              <w:rPr>
                <w:color w:val="595959" w:themeColor="text1" w:themeTint="A6"/>
              </w:rPr>
            </w:pPr>
            <w:r w:rsidRPr="00DA5FC3">
              <w:rPr>
                <w:color w:val="595959" w:themeColor="text1" w:themeTint="A6"/>
              </w:rPr>
              <w:t>Transamerica Life Insurance Company</w:t>
            </w:r>
          </w:p>
        </w:tc>
        <w:tc>
          <w:tcPr>
            <w:tcW w:w="852" w:type="dxa"/>
          </w:tcPr>
          <w:p w:rsidR="00B507A9" w:rsidRPr="00DA5FC3" w:rsidRDefault="00B507A9" w:rsidP="00DA5FC3">
            <w:pPr>
              <w:keepLines w:val="0"/>
              <w:widowControl w:val="0"/>
              <w:cnfStyle w:val="000000000000"/>
              <w:rPr>
                <w:color w:val="595959" w:themeColor="text1" w:themeTint="A6"/>
                <w:sz w:val="20"/>
                <w:szCs w:val="20"/>
              </w:rPr>
            </w:pPr>
            <w:r w:rsidRPr="00DA5FC3">
              <w:rPr>
                <w:color w:val="595959" w:themeColor="text1" w:themeTint="A6"/>
                <w:sz w:val="20"/>
                <w:szCs w:val="20"/>
              </w:rPr>
              <w:t>1.38</w:t>
            </w:r>
          </w:p>
        </w:tc>
        <w:tc>
          <w:tcPr>
            <w:tcW w:w="1274" w:type="dxa"/>
          </w:tcPr>
          <w:p w:rsidR="00B507A9" w:rsidRPr="00DA5FC3" w:rsidRDefault="00B507A9" w:rsidP="00DA5FC3">
            <w:pPr>
              <w:keepLines w:val="0"/>
              <w:widowControl w:val="0"/>
              <w:cnfStyle w:val="000000000000"/>
              <w:rPr>
                <w:color w:val="595959" w:themeColor="text1" w:themeTint="A6"/>
                <w:sz w:val="20"/>
                <w:szCs w:val="20"/>
              </w:rPr>
            </w:pPr>
            <w:r w:rsidRPr="00DA5FC3">
              <w:rPr>
                <w:color w:val="595959" w:themeColor="text1" w:themeTint="A6"/>
                <w:sz w:val="20"/>
                <w:szCs w:val="20"/>
              </w:rPr>
              <w:t>68.98</w:t>
            </w:r>
          </w:p>
        </w:tc>
        <w:tc>
          <w:tcPr>
            <w:tcW w:w="1274" w:type="dxa"/>
          </w:tcPr>
          <w:p w:rsidR="00B507A9" w:rsidRPr="00DA5FC3" w:rsidRDefault="00B507A9"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93F1D" w:rsidRPr="00DA5FC3" w:rsidRDefault="00B507A9" w:rsidP="00DA5FC3">
            <w:pPr>
              <w:pStyle w:val="Tabeltekst"/>
              <w:keepLines w:val="0"/>
              <w:widowControl w:val="0"/>
              <w:rPr>
                <w:color w:val="595959" w:themeColor="text1" w:themeTint="A6"/>
              </w:rPr>
            </w:pPr>
            <w:r w:rsidRPr="00DA5FC3">
              <w:rPr>
                <w:color w:val="595959" w:themeColor="text1" w:themeTint="A6"/>
              </w:rPr>
              <w:t>Bunge</w:t>
            </w:r>
          </w:p>
        </w:tc>
        <w:tc>
          <w:tcPr>
            <w:tcW w:w="3838" w:type="dxa"/>
          </w:tcPr>
          <w:p w:rsidR="00B93F1D" w:rsidRPr="00DA5FC3" w:rsidRDefault="00B507A9" w:rsidP="00DA5FC3">
            <w:pPr>
              <w:pStyle w:val="Tabeltekst"/>
              <w:keepLines w:val="0"/>
              <w:widowControl w:val="0"/>
              <w:jc w:val="left"/>
              <w:cnfStyle w:val="000000000000"/>
              <w:rPr>
                <w:color w:val="595959" w:themeColor="text1" w:themeTint="A6"/>
              </w:rPr>
            </w:pPr>
            <w:r w:rsidRPr="00DA5FC3">
              <w:rPr>
                <w:color w:val="595959" w:themeColor="text1" w:themeTint="A6"/>
              </w:rPr>
              <w:t>Monumental Life Insurance Company</w:t>
            </w:r>
          </w:p>
        </w:tc>
        <w:tc>
          <w:tcPr>
            <w:tcW w:w="852" w:type="dxa"/>
          </w:tcPr>
          <w:p w:rsidR="00B93F1D" w:rsidRPr="00DA5FC3" w:rsidRDefault="00B507A9" w:rsidP="00DA5FC3">
            <w:pPr>
              <w:keepLines w:val="0"/>
              <w:widowControl w:val="0"/>
              <w:cnfStyle w:val="000000000000"/>
              <w:rPr>
                <w:color w:val="595959" w:themeColor="text1" w:themeTint="A6"/>
                <w:sz w:val="20"/>
                <w:szCs w:val="20"/>
              </w:rPr>
            </w:pPr>
            <w:r w:rsidRPr="00DA5FC3">
              <w:rPr>
                <w:color w:val="595959" w:themeColor="text1" w:themeTint="A6"/>
                <w:sz w:val="20"/>
                <w:szCs w:val="20"/>
              </w:rPr>
              <w:t>0.19</w:t>
            </w:r>
          </w:p>
        </w:tc>
        <w:tc>
          <w:tcPr>
            <w:tcW w:w="1274" w:type="dxa"/>
          </w:tcPr>
          <w:p w:rsidR="00B93F1D" w:rsidRPr="00DA5FC3" w:rsidRDefault="00B507A9" w:rsidP="00DA5FC3">
            <w:pPr>
              <w:keepLines w:val="0"/>
              <w:widowControl w:val="0"/>
              <w:cnfStyle w:val="000000000000"/>
              <w:rPr>
                <w:color w:val="595959" w:themeColor="text1" w:themeTint="A6"/>
                <w:sz w:val="20"/>
                <w:szCs w:val="20"/>
              </w:rPr>
            </w:pPr>
            <w:r w:rsidRPr="00DA5FC3">
              <w:rPr>
                <w:color w:val="595959" w:themeColor="text1" w:themeTint="A6"/>
                <w:sz w:val="20"/>
                <w:szCs w:val="20"/>
              </w:rPr>
              <w:t>3.96</w:t>
            </w:r>
          </w:p>
        </w:tc>
        <w:tc>
          <w:tcPr>
            <w:tcW w:w="1274" w:type="dxa"/>
          </w:tcPr>
          <w:p w:rsidR="00B93F1D" w:rsidRPr="00DA5FC3" w:rsidRDefault="00B507A9"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93F1D" w:rsidRPr="00DA5FC3" w:rsidRDefault="002578CF" w:rsidP="00DA5FC3">
            <w:pPr>
              <w:pStyle w:val="Tabeltekst"/>
              <w:keepLines w:val="0"/>
              <w:widowControl w:val="0"/>
              <w:rPr>
                <w:color w:val="595959" w:themeColor="text1" w:themeTint="A6"/>
              </w:rPr>
            </w:pPr>
            <w:r w:rsidRPr="00DA5FC3">
              <w:rPr>
                <w:color w:val="595959" w:themeColor="text1" w:themeTint="A6"/>
              </w:rPr>
              <w:t>Bunge</w:t>
            </w:r>
          </w:p>
        </w:tc>
        <w:tc>
          <w:tcPr>
            <w:tcW w:w="3838" w:type="dxa"/>
          </w:tcPr>
          <w:p w:rsidR="00B93F1D" w:rsidRPr="00DA5FC3" w:rsidRDefault="002578CF" w:rsidP="00DA5FC3">
            <w:pPr>
              <w:pStyle w:val="Tabeltekst"/>
              <w:keepLines w:val="0"/>
              <w:widowControl w:val="0"/>
              <w:jc w:val="left"/>
              <w:cnfStyle w:val="000000000000"/>
              <w:rPr>
                <w:color w:val="595959" w:themeColor="text1" w:themeTint="A6"/>
              </w:rPr>
            </w:pPr>
            <w:r w:rsidRPr="00DA5FC3">
              <w:rPr>
                <w:color w:val="595959" w:themeColor="text1" w:themeTint="A6"/>
              </w:rPr>
              <w:t>Stonebridge Life Insurance Comp</w:t>
            </w:r>
            <w:r w:rsidR="001F6703" w:rsidRPr="00DA5FC3">
              <w:rPr>
                <w:color w:val="595959" w:themeColor="text1" w:themeTint="A6"/>
              </w:rPr>
              <w:t>any</w:t>
            </w:r>
          </w:p>
        </w:tc>
        <w:tc>
          <w:tcPr>
            <w:tcW w:w="852" w:type="dxa"/>
          </w:tcPr>
          <w:p w:rsidR="00B93F1D" w:rsidRPr="00DA5FC3" w:rsidRDefault="002578CF" w:rsidP="00DA5FC3">
            <w:pPr>
              <w:keepLines w:val="0"/>
              <w:widowControl w:val="0"/>
              <w:cnfStyle w:val="000000000000"/>
              <w:rPr>
                <w:color w:val="595959" w:themeColor="text1" w:themeTint="A6"/>
                <w:sz w:val="20"/>
                <w:szCs w:val="20"/>
              </w:rPr>
            </w:pPr>
            <w:r w:rsidRPr="00DA5FC3">
              <w:rPr>
                <w:color w:val="595959" w:themeColor="text1" w:themeTint="A6"/>
                <w:sz w:val="20"/>
                <w:szCs w:val="20"/>
              </w:rPr>
              <w:t>0.28</w:t>
            </w:r>
          </w:p>
        </w:tc>
        <w:tc>
          <w:tcPr>
            <w:tcW w:w="1274" w:type="dxa"/>
          </w:tcPr>
          <w:p w:rsidR="00B93F1D" w:rsidRPr="00DA5FC3" w:rsidRDefault="002578CF" w:rsidP="00DA5FC3">
            <w:pPr>
              <w:keepLines w:val="0"/>
              <w:widowControl w:val="0"/>
              <w:cnfStyle w:val="000000000000"/>
              <w:rPr>
                <w:color w:val="595959" w:themeColor="text1" w:themeTint="A6"/>
                <w:sz w:val="20"/>
                <w:szCs w:val="20"/>
              </w:rPr>
            </w:pPr>
            <w:r w:rsidRPr="00DA5FC3">
              <w:rPr>
                <w:color w:val="595959" w:themeColor="text1" w:themeTint="A6"/>
                <w:sz w:val="20"/>
                <w:szCs w:val="20"/>
              </w:rPr>
              <w:t>6.03</w:t>
            </w:r>
          </w:p>
        </w:tc>
        <w:tc>
          <w:tcPr>
            <w:tcW w:w="1274" w:type="dxa"/>
          </w:tcPr>
          <w:p w:rsidR="00B93F1D" w:rsidRPr="00DA5FC3" w:rsidRDefault="002578CF"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2578CF" w:rsidRPr="00DA5FC3" w:rsidRDefault="002578CF" w:rsidP="00DA5FC3">
            <w:pPr>
              <w:rPr>
                <w:color w:val="595959" w:themeColor="text1" w:themeTint="A6"/>
                <w:sz w:val="20"/>
                <w:szCs w:val="20"/>
              </w:rPr>
            </w:pPr>
            <w:r w:rsidRPr="00DA5FC3">
              <w:rPr>
                <w:color w:val="595959" w:themeColor="text1" w:themeTint="A6"/>
                <w:sz w:val="20"/>
                <w:szCs w:val="20"/>
              </w:rPr>
              <w:t>Bunge</w:t>
            </w:r>
          </w:p>
        </w:tc>
        <w:tc>
          <w:tcPr>
            <w:tcW w:w="3838" w:type="dxa"/>
          </w:tcPr>
          <w:p w:rsidR="002578CF" w:rsidRPr="00DA5FC3" w:rsidRDefault="002578CF" w:rsidP="00DA5FC3">
            <w:pPr>
              <w:pStyle w:val="Tabeltekst"/>
              <w:keepLines w:val="0"/>
              <w:widowControl w:val="0"/>
              <w:jc w:val="left"/>
              <w:cnfStyle w:val="000000000000"/>
              <w:rPr>
                <w:color w:val="595959" w:themeColor="text1" w:themeTint="A6"/>
              </w:rPr>
            </w:pPr>
            <w:r w:rsidRPr="00DA5FC3">
              <w:rPr>
                <w:color w:val="595959" w:themeColor="text1" w:themeTint="A6"/>
              </w:rPr>
              <w:t>Transamerica Life Insurance Company</w:t>
            </w:r>
          </w:p>
        </w:tc>
        <w:tc>
          <w:tcPr>
            <w:tcW w:w="852" w:type="dxa"/>
          </w:tcPr>
          <w:p w:rsidR="002578CF" w:rsidRPr="00DA5FC3" w:rsidRDefault="002578CF" w:rsidP="00DA5FC3">
            <w:pPr>
              <w:keepLines w:val="0"/>
              <w:widowControl w:val="0"/>
              <w:cnfStyle w:val="000000000000"/>
              <w:rPr>
                <w:color w:val="595959" w:themeColor="text1" w:themeTint="A6"/>
                <w:sz w:val="20"/>
                <w:szCs w:val="20"/>
              </w:rPr>
            </w:pPr>
            <w:r w:rsidRPr="00DA5FC3">
              <w:rPr>
                <w:color w:val="595959" w:themeColor="text1" w:themeTint="A6"/>
                <w:sz w:val="20"/>
                <w:szCs w:val="20"/>
              </w:rPr>
              <w:t>0.24</w:t>
            </w:r>
          </w:p>
        </w:tc>
        <w:tc>
          <w:tcPr>
            <w:tcW w:w="1274" w:type="dxa"/>
          </w:tcPr>
          <w:p w:rsidR="002578CF" w:rsidRPr="00DA5FC3" w:rsidRDefault="002578CF" w:rsidP="00DA5FC3">
            <w:pPr>
              <w:keepLines w:val="0"/>
              <w:widowControl w:val="0"/>
              <w:cnfStyle w:val="000000000000"/>
              <w:rPr>
                <w:color w:val="595959" w:themeColor="text1" w:themeTint="A6"/>
                <w:sz w:val="20"/>
                <w:szCs w:val="20"/>
              </w:rPr>
            </w:pPr>
            <w:r w:rsidRPr="00DA5FC3">
              <w:rPr>
                <w:color w:val="595959" w:themeColor="text1" w:themeTint="A6"/>
                <w:sz w:val="20"/>
                <w:szCs w:val="20"/>
              </w:rPr>
              <w:t>5.05</w:t>
            </w:r>
          </w:p>
        </w:tc>
        <w:tc>
          <w:tcPr>
            <w:tcW w:w="1274" w:type="dxa"/>
          </w:tcPr>
          <w:p w:rsidR="002578CF" w:rsidRPr="00DA5FC3" w:rsidRDefault="002578CF"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B93F1D" w:rsidRPr="00DA5FC3" w:rsidRDefault="001F6703" w:rsidP="00DA5FC3">
            <w:pPr>
              <w:pStyle w:val="Tabeltekst"/>
              <w:keepLines w:val="0"/>
              <w:widowControl w:val="0"/>
              <w:rPr>
                <w:color w:val="595959" w:themeColor="text1" w:themeTint="A6"/>
              </w:rPr>
            </w:pPr>
            <w:r w:rsidRPr="00DA5FC3">
              <w:rPr>
                <w:color w:val="595959" w:themeColor="text1" w:themeTint="A6"/>
              </w:rPr>
              <w:t>Cargill</w:t>
            </w:r>
          </w:p>
        </w:tc>
        <w:tc>
          <w:tcPr>
            <w:tcW w:w="3838" w:type="dxa"/>
          </w:tcPr>
          <w:p w:rsidR="00B93F1D" w:rsidRPr="00DA5FC3" w:rsidRDefault="001F6703" w:rsidP="00DA5FC3">
            <w:pPr>
              <w:pStyle w:val="Tabeltekst"/>
              <w:keepLines w:val="0"/>
              <w:widowControl w:val="0"/>
              <w:jc w:val="left"/>
              <w:cnfStyle w:val="000000000000"/>
              <w:rPr>
                <w:color w:val="595959" w:themeColor="text1" w:themeTint="A6"/>
              </w:rPr>
            </w:pPr>
            <w:r w:rsidRPr="00DA5FC3">
              <w:rPr>
                <w:color w:val="595959" w:themeColor="text1" w:themeTint="A6"/>
              </w:rPr>
              <w:t>Monumental Life Insurance Company</w:t>
            </w:r>
          </w:p>
        </w:tc>
        <w:tc>
          <w:tcPr>
            <w:tcW w:w="852" w:type="dxa"/>
          </w:tcPr>
          <w:p w:rsidR="00B93F1D"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0.03</w:t>
            </w:r>
          </w:p>
        </w:tc>
        <w:tc>
          <w:tcPr>
            <w:tcW w:w="1274" w:type="dxa"/>
          </w:tcPr>
          <w:p w:rsidR="00B93F1D"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2.26</w:t>
            </w:r>
          </w:p>
        </w:tc>
        <w:tc>
          <w:tcPr>
            <w:tcW w:w="1274" w:type="dxa"/>
          </w:tcPr>
          <w:p w:rsidR="00B93F1D"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1F6703" w:rsidRPr="00DA5FC3" w:rsidRDefault="001F6703" w:rsidP="00DA5FC3">
            <w:pPr>
              <w:rPr>
                <w:color w:val="595959" w:themeColor="text1" w:themeTint="A6"/>
                <w:sz w:val="20"/>
                <w:szCs w:val="20"/>
              </w:rPr>
            </w:pPr>
            <w:r w:rsidRPr="00DA5FC3">
              <w:rPr>
                <w:color w:val="595959" w:themeColor="text1" w:themeTint="A6"/>
                <w:sz w:val="20"/>
                <w:szCs w:val="20"/>
              </w:rPr>
              <w:t>Cargill</w:t>
            </w:r>
          </w:p>
        </w:tc>
        <w:tc>
          <w:tcPr>
            <w:tcW w:w="3838" w:type="dxa"/>
          </w:tcPr>
          <w:p w:rsidR="001F6703" w:rsidRPr="00DA5FC3" w:rsidRDefault="001F6703" w:rsidP="00DA5FC3">
            <w:pPr>
              <w:pStyle w:val="Tabeltekst"/>
              <w:keepLines w:val="0"/>
              <w:widowControl w:val="0"/>
              <w:jc w:val="left"/>
              <w:cnfStyle w:val="000000000000"/>
              <w:rPr>
                <w:color w:val="595959" w:themeColor="text1" w:themeTint="A6"/>
              </w:rPr>
            </w:pPr>
            <w:r w:rsidRPr="00DA5FC3">
              <w:rPr>
                <w:color w:val="595959" w:themeColor="text1" w:themeTint="A6"/>
              </w:rPr>
              <w:t>Transamerica Financial Life Insurance</w:t>
            </w:r>
          </w:p>
        </w:tc>
        <w:tc>
          <w:tcPr>
            <w:tcW w:w="852" w:type="dxa"/>
          </w:tcPr>
          <w:p w:rsidR="001F6703"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0.33</w:t>
            </w:r>
          </w:p>
        </w:tc>
        <w:tc>
          <w:tcPr>
            <w:tcW w:w="1274" w:type="dxa"/>
          </w:tcPr>
          <w:p w:rsidR="001F6703"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24.35</w:t>
            </w:r>
          </w:p>
        </w:tc>
        <w:tc>
          <w:tcPr>
            <w:tcW w:w="1274" w:type="dxa"/>
          </w:tcPr>
          <w:p w:rsidR="001F6703" w:rsidRPr="00DA5FC3" w:rsidRDefault="001F6703"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1F6703" w:rsidRPr="00DA5FC3" w:rsidRDefault="001F6703" w:rsidP="00DA5FC3">
            <w:pPr>
              <w:rPr>
                <w:color w:val="595959" w:themeColor="text1" w:themeTint="A6"/>
                <w:sz w:val="20"/>
                <w:szCs w:val="20"/>
              </w:rPr>
            </w:pPr>
            <w:r w:rsidRPr="00DA5FC3">
              <w:rPr>
                <w:color w:val="595959" w:themeColor="text1" w:themeTint="A6"/>
                <w:sz w:val="20"/>
                <w:szCs w:val="20"/>
              </w:rPr>
              <w:t>Cargill</w:t>
            </w:r>
          </w:p>
        </w:tc>
        <w:tc>
          <w:tcPr>
            <w:tcW w:w="3838" w:type="dxa"/>
          </w:tcPr>
          <w:p w:rsidR="001F6703" w:rsidRPr="00DA5FC3" w:rsidRDefault="001F6703" w:rsidP="00DA5FC3">
            <w:pPr>
              <w:pStyle w:val="Tabeltekst"/>
              <w:keepLines w:val="0"/>
              <w:widowControl w:val="0"/>
              <w:jc w:val="left"/>
              <w:cnfStyle w:val="000000000000"/>
              <w:rPr>
                <w:color w:val="595959" w:themeColor="text1" w:themeTint="A6"/>
              </w:rPr>
            </w:pPr>
            <w:r w:rsidRPr="00DA5FC3">
              <w:rPr>
                <w:color w:val="595959" w:themeColor="text1" w:themeTint="A6"/>
              </w:rPr>
              <w:t>Transamerica Life Insurance Company</w:t>
            </w:r>
          </w:p>
        </w:tc>
        <w:tc>
          <w:tcPr>
            <w:tcW w:w="852" w:type="dxa"/>
          </w:tcPr>
          <w:p w:rsidR="001F6703"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0.63</w:t>
            </w:r>
          </w:p>
        </w:tc>
        <w:tc>
          <w:tcPr>
            <w:tcW w:w="1274" w:type="dxa"/>
          </w:tcPr>
          <w:p w:rsidR="001F6703"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47.00</w:t>
            </w:r>
          </w:p>
        </w:tc>
        <w:tc>
          <w:tcPr>
            <w:tcW w:w="1274" w:type="dxa"/>
          </w:tcPr>
          <w:p w:rsidR="001F6703" w:rsidRPr="00DA5FC3" w:rsidRDefault="001F6703"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1F6703" w:rsidRPr="00DA5FC3" w:rsidRDefault="001F6703" w:rsidP="00DA5FC3">
            <w:pPr>
              <w:rPr>
                <w:color w:val="595959" w:themeColor="text1" w:themeTint="A6"/>
                <w:sz w:val="20"/>
                <w:szCs w:val="20"/>
              </w:rPr>
            </w:pPr>
            <w:r w:rsidRPr="00DA5FC3">
              <w:rPr>
                <w:color w:val="595959" w:themeColor="text1" w:themeTint="A6"/>
                <w:sz w:val="20"/>
                <w:szCs w:val="20"/>
              </w:rPr>
              <w:t>Cargill</w:t>
            </w:r>
          </w:p>
        </w:tc>
        <w:tc>
          <w:tcPr>
            <w:tcW w:w="3838" w:type="dxa"/>
          </w:tcPr>
          <w:p w:rsidR="001F6703" w:rsidRPr="00DA5FC3" w:rsidRDefault="001F6703" w:rsidP="00DA5FC3">
            <w:pPr>
              <w:pStyle w:val="Tabeltekst"/>
              <w:keepLines w:val="0"/>
              <w:widowControl w:val="0"/>
              <w:jc w:val="left"/>
              <w:cnfStyle w:val="000000000000"/>
              <w:rPr>
                <w:color w:val="595959" w:themeColor="text1" w:themeTint="A6"/>
              </w:rPr>
            </w:pPr>
            <w:r w:rsidRPr="00DA5FC3">
              <w:rPr>
                <w:color w:val="595959" w:themeColor="text1" w:themeTint="A6"/>
              </w:rPr>
              <w:t>Transamerica Series Trust</w:t>
            </w:r>
          </w:p>
        </w:tc>
        <w:tc>
          <w:tcPr>
            <w:tcW w:w="852" w:type="dxa"/>
          </w:tcPr>
          <w:p w:rsidR="001F6703"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0.02</w:t>
            </w:r>
          </w:p>
        </w:tc>
        <w:tc>
          <w:tcPr>
            <w:tcW w:w="1274" w:type="dxa"/>
          </w:tcPr>
          <w:p w:rsidR="001F6703" w:rsidRPr="00DA5FC3" w:rsidRDefault="001F6703" w:rsidP="00DA5FC3">
            <w:pPr>
              <w:keepLines w:val="0"/>
              <w:widowControl w:val="0"/>
              <w:cnfStyle w:val="000000000000"/>
              <w:rPr>
                <w:color w:val="595959" w:themeColor="text1" w:themeTint="A6"/>
                <w:sz w:val="20"/>
                <w:szCs w:val="20"/>
              </w:rPr>
            </w:pPr>
            <w:r w:rsidRPr="00DA5FC3">
              <w:rPr>
                <w:color w:val="595959" w:themeColor="text1" w:themeTint="A6"/>
                <w:sz w:val="20"/>
                <w:szCs w:val="20"/>
              </w:rPr>
              <w:t>1.52</w:t>
            </w:r>
          </w:p>
        </w:tc>
        <w:tc>
          <w:tcPr>
            <w:tcW w:w="1274" w:type="dxa"/>
          </w:tcPr>
          <w:p w:rsidR="001F6703" w:rsidRPr="00DA5FC3" w:rsidRDefault="001F6703" w:rsidP="00DA5FC3">
            <w:pPr>
              <w:cnfStyle w:val="000000000000"/>
              <w:rPr>
                <w:color w:val="595959" w:themeColor="text1" w:themeTint="A6"/>
                <w:sz w:val="20"/>
                <w:szCs w:val="20"/>
              </w:rPr>
            </w:pPr>
            <w:r w:rsidRPr="00DA5FC3">
              <w:rPr>
                <w:color w:val="595959" w:themeColor="text1" w:themeTint="A6"/>
                <w:sz w:val="20"/>
                <w:szCs w:val="20"/>
              </w:rPr>
              <w:t>31-03-2013</w:t>
            </w:r>
          </w:p>
        </w:tc>
      </w:tr>
      <w:tr w:rsidR="00DA5FC3" w:rsidRPr="00DA5FC3" w:rsidTr="00687325">
        <w:tc>
          <w:tcPr>
            <w:cnfStyle w:val="001000000000"/>
            <w:tcW w:w="1572" w:type="dxa"/>
          </w:tcPr>
          <w:p w:rsidR="000D3931" w:rsidRPr="00DA5FC3" w:rsidRDefault="000D3931" w:rsidP="00DA5FC3">
            <w:pPr>
              <w:rPr>
                <w:color w:val="595959" w:themeColor="text1" w:themeTint="A6"/>
                <w:sz w:val="20"/>
                <w:szCs w:val="20"/>
              </w:rPr>
            </w:pPr>
            <w:r w:rsidRPr="00DA5FC3">
              <w:rPr>
                <w:color w:val="595959" w:themeColor="text1" w:themeTint="A6"/>
                <w:sz w:val="20"/>
                <w:szCs w:val="20"/>
              </w:rPr>
              <w:t>Cargill</w:t>
            </w:r>
          </w:p>
        </w:tc>
        <w:tc>
          <w:tcPr>
            <w:tcW w:w="3838" w:type="dxa"/>
          </w:tcPr>
          <w:p w:rsidR="000D3931" w:rsidRPr="00DA5FC3" w:rsidRDefault="000D3931" w:rsidP="00DA5FC3">
            <w:pPr>
              <w:pStyle w:val="Tabeltekst"/>
              <w:keepLines w:val="0"/>
              <w:widowControl w:val="0"/>
              <w:jc w:val="left"/>
              <w:cnfStyle w:val="000000000000"/>
              <w:rPr>
                <w:color w:val="595959" w:themeColor="text1" w:themeTint="A6"/>
              </w:rPr>
            </w:pPr>
            <w:r w:rsidRPr="00DA5FC3">
              <w:rPr>
                <w:color w:val="595959" w:themeColor="text1" w:themeTint="A6"/>
              </w:rPr>
              <w:t>Western Reserve Life Assurance Company of Ohio</w:t>
            </w:r>
          </w:p>
        </w:tc>
        <w:tc>
          <w:tcPr>
            <w:tcW w:w="852" w:type="dxa"/>
          </w:tcPr>
          <w:p w:rsidR="000D3931" w:rsidRPr="00DA5FC3" w:rsidRDefault="000D3931" w:rsidP="00DA5FC3">
            <w:pPr>
              <w:keepLines w:val="0"/>
              <w:widowControl w:val="0"/>
              <w:cnfStyle w:val="000000000000"/>
              <w:rPr>
                <w:color w:val="595959" w:themeColor="text1" w:themeTint="A6"/>
                <w:sz w:val="20"/>
                <w:szCs w:val="20"/>
              </w:rPr>
            </w:pPr>
            <w:r w:rsidRPr="00DA5FC3">
              <w:rPr>
                <w:color w:val="595959" w:themeColor="text1" w:themeTint="A6"/>
                <w:sz w:val="20"/>
                <w:szCs w:val="20"/>
              </w:rPr>
              <w:t>0.05</w:t>
            </w:r>
          </w:p>
        </w:tc>
        <w:tc>
          <w:tcPr>
            <w:tcW w:w="1274" w:type="dxa"/>
          </w:tcPr>
          <w:p w:rsidR="000D3931" w:rsidRPr="00DA5FC3" w:rsidRDefault="000D3931" w:rsidP="00DA5FC3">
            <w:pPr>
              <w:keepLines w:val="0"/>
              <w:widowControl w:val="0"/>
              <w:cnfStyle w:val="000000000000"/>
              <w:rPr>
                <w:color w:val="595959" w:themeColor="text1" w:themeTint="A6"/>
                <w:sz w:val="20"/>
                <w:szCs w:val="20"/>
              </w:rPr>
            </w:pPr>
            <w:r w:rsidRPr="00DA5FC3">
              <w:rPr>
                <w:color w:val="595959" w:themeColor="text1" w:themeTint="A6"/>
                <w:sz w:val="20"/>
                <w:szCs w:val="20"/>
              </w:rPr>
              <w:t>3.77</w:t>
            </w:r>
          </w:p>
        </w:tc>
        <w:tc>
          <w:tcPr>
            <w:tcW w:w="1274" w:type="dxa"/>
          </w:tcPr>
          <w:p w:rsidR="000D3931" w:rsidRPr="00DA5FC3" w:rsidRDefault="000D3931" w:rsidP="00DA5FC3">
            <w:pPr>
              <w:cnfStyle w:val="000000000000"/>
              <w:rPr>
                <w:color w:val="595959" w:themeColor="text1" w:themeTint="A6"/>
                <w:sz w:val="20"/>
                <w:szCs w:val="20"/>
              </w:rPr>
            </w:pPr>
            <w:r w:rsidRPr="00DA5FC3">
              <w:rPr>
                <w:color w:val="595959" w:themeColor="text1" w:themeTint="A6"/>
                <w:sz w:val="20"/>
                <w:szCs w:val="20"/>
              </w:rPr>
              <w:t>31-03-2013</w:t>
            </w:r>
          </w:p>
        </w:tc>
      </w:tr>
    </w:tbl>
    <w:p w:rsidR="009C7232" w:rsidRPr="00144FE5" w:rsidRDefault="009C7232" w:rsidP="00F778C7">
      <w:pPr>
        <w:pStyle w:val="Tabelbron"/>
        <w:keepLines w:val="0"/>
        <w:widowControl w:val="0"/>
        <w:rPr>
          <w:lang w:val="en-US"/>
        </w:rPr>
      </w:pPr>
      <w:r w:rsidRPr="00144FE5">
        <w:rPr>
          <w:lang w:val="en-US"/>
        </w:rPr>
        <w:t xml:space="preserve">Source: </w:t>
      </w:r>
      <w:r w:rsidRPr="00031898">
        <w:t xml:space="preserve">Bloomberg Financial Database, “Bond Holdings”, </w:t>
      </w:r>
      <w:r w:rsidRPr="00031898">
        <w:rPr>
          <w:i/>
        </w:rPr>
        <w:t>Bloomberg Financial Database</w:t>
      </w:r>
      <w:r w:rsidRPr="00031898">
        <w:t xml:space="preserve">, </w:t>
      </w:r>
      <w:r>
        <w:t>Viewed in August</w:t>
      </w:r>
      <w:r w:rsidRPr="00031898">
        <w:t xml:space="preserve"> 201</w:t>
      </w:r>
      <w:r>
        <w:t>3</w:t>
      </w:r>
      <w:r w:rsidRPr="00144FE5">
        <w:rPr>
          <w:lang w:val="en-US"/>
        </w:rPr>
        <w:t>.</w:t>
      </w:r>
    </w:p>
    <w:p w:rsidR="00985FAF" w:rsidRDefault="00985FAF" w:rsidP="00985FAF">
      <w:pPr>
        <w:rPr>
          <w:lang w:val="en-US"/>
        </w:rPr>
      </w:pPr>
    </w:p>
    <w:p w:rsidR="00985FAF" w:rsidRDefault="00985FAF" w:rsidP="00985FAF">
      <w:pPr>
        <w:pStyle w:val="Heading2"/>
        <w:rPr>
          <w:lang w:val="en-US"/>
        </w:rPr>
      </w:pPr>
      <w:bookmarkStart w:id="33" w:name="_Toc365554347"/>
      <w:r>
        <w:rPr>
          <w:lang w:val="en-US"/>
        </w:rPr>
        <w:t>Bond issuances</w:t>
      </w:r>
      <w:bookmarkEnd w:id="33"/>
    </w:p>
    <w:p w:rsidR="00F62A16" w:rsidRDefault="00F62A16" w:rsidP="00F62A16">
      <w:r>
        <w:t>Insurance companies such as Aegon are not involved in the management and underwriting of bond issuances.</w:t>
      </w:r>
    </w:p>
    <w:p w:rsidR="00985FAF" w:rsidRPr="00FC5868" w:rsidRDefault="00985FAF" w:rsidP="00985FAF"/>
    <w:p w:rsidR="00985FAF" w:rsidRPr="00ED1F1A" w:rsidRDefault="00985FAF" w:rsidP="00985FAF">
      <w:pPr>
        <w:pStyle w:val="Heading2"/>
        <w:rPr>
          <w:lang w:val="en-US"/>
        </w:rPr>
      </w:pPr>
      <w:bookmarkStart w:id="34" w:name="_Toc365554348"/>
      <w:r>
        <w:rPr>
          <w:lang w:val="en-US"/>
        </w:rPr>
        <w:lastRenderedPageBreak/>
        <w:t>Loans</w:t>
      </w:r>
      <w:bookmarkEnd w:id="34"/>
    </w:p>
    <w:p w:rsidR="009A061A" w:rsidRDefault="009A061A" w:rsidP="009A061A">
      <w:r>
        <w:t>Insurance companies such as Aegon are not involved in providing loans to companies.</w:t>
      </w:r>
    </w:p>
    <w:p w:rsidR="00985FAF" w:rsidRDefault="00985FAF">
      <w:pPr>
        <w:keepLines w:val="0"/>
        <w:rPr>
          <w:lang w:val="en-US"/>
        </w:rPr>
      </w:pPr>
      <w:r>
        <w:rPr>
          <w:lang w:val="en-US"/>
        </w:rPr>
        <w:br w:type="page"/>
      </w:r>
    </w:p>
    <w:p w:rsidR="00985FAF" w:rsidRPr="00546F0A" w:rsidRDefault="00985FAF" w:rsidP="00985FAF">
      <w:pPr>
        <w:pStyle w:val="Heading1"/>
        <w:rPr>
          <w:lang w:val="en-US"/>
        </w:rPr>
      </w:pPr>
      <w:bookmarkStart w:id="35" w:name="_Toc365554349"/>
      <w:r>
        <w:rPr>
          <w:lang w:val="en-US"/>
        </w:rPr>
        <w:lastRenderedPageBreak/>
        <w:t>ING</w:t>
      </w:r>
      <w:bookmarkEnd w:id="35"/>
    </w:p>
    <w:p w:rsidR="00985FAF" w:rsidRPr="00546F0A" w:rsidRDefault="00985FAF" w:rsidP="00985FAF">
      <w:pPr>
        <w:pStyle w:val="Heading2"/>
        <w:rPr>
          <w:lang w:val="en-US"/>
        </w:rPr>
      </w:pPr>
      <w:bookmarkStart w:id="36" w:name="_Toc365554350"/>
      <w:r>
        <w:rPr>
          <w:lang w:val="en-US"/>
        </w:rPr>
        <w:t>Shareholdings</w:t>
      </w:r>
      <w:bookmarkEnd w:id="36"/>
    </w:p>
    <w:p w:rsidR="009B6037" w:rsidRDefault="00E55126" w:rsidP="009B6037">
      <w:pPr>
        <w:rPr>
          <w:lang w:val="en-US"/>
        </w:rPr>
      </w:pPr>
      <w:r>
        <w:rPr>
          <w:lang w:val="en-US"/>
        </w:rPr>
        <w:fldChar w:fldCharType="begin"/>
      </w:r>
      <w:r w:rsidR="009B6037">
        <w:rPr>
          <w:lang w:val="en-US"/>
        </w:rPr>
        <w:instrText xml:space="preserve"> REF _Ref362855175 \r \h </w:instrText>
      </w:r>
      <w:r>
        <w:rPr>
          <w:lang w:val="en-US"/>
        </w:rPr>
      </w:r>
      <w:r>
        <w:rPr>
          <w:lang w:val="en-US"/>
        </w:rPr>
        <w:fldChar w:fldCharType="separate"/>
      </w:r>
      <w:r w:rsidR="00D74F7E">
        <w:rPr>
          <w:lang w:val="en-US"/>
        </w:rPr>
        <w:t>Table 6</w:t>
      </w:r>
      <w:r>
        <w:rPr>
          <w:lang w:val="en-US"/>
        </w:rPr>
        <w:fldChar w:fldCharType="end"/>
      </w:r>
      <w:r w:rsidR="009B6037">
        <w:rPr>
          <w:lang w:val="en-US"/>
        </w:rPr>
        <w:t xml:space="preserve"> </w:t>
      </w:r>
      <w:r w:rsidR="009B6037" w:rsidRPr="009B6037">
        <w:rPr>
          <w:lang w:val="en-US"/>
        </w:rPr>
        <w:t xml:space="preserve">gives an overview of all the shares of </w:t>
      </w:r>
      <w:r w:rsidR="009B6037">
        <w:rPr>
          <w:lang w:val="en-US"/>
        </w:rPr>
        <w:t>food companies</w:t>
      </w:r>
      <w:r w:rsidR="009B6037" w:rsidRPr="009B6037">
        <w:rPr>
          <w:lang w:val="en-US"/>
        </w:rPr>
        <w:t xml:space="preserve"> owned by investment funds managed by </w:t>
      </w:r>
      <w:r w:rsidR="009B6037">
        <w:rPr>
          <w:lang w:val="en-US"/>
        </w:rPr>
        <w:t>ING</w:t>
      </w:r>
      <w:r w:rsidR="009B6037" w:rsidRPr="009B6037">
        <w:rPr>
          <w:lang w:val="en-US"/>
        </w:rPr>
        <w:t xml:space="preserve"> and its subsidiaries as per the most recent filing date available</w:t>
      </w:r>
      <w:r w:rsidR="009B6037">
        <w:rPr>
          <w:lang w:val="en-US"/>
        </w:rPr>
        <w:t>.</w:t>
      </w:r>
    </w:p>
    <w:p w:rsidR="00985FAF" w:rsidRPr="00546F0A" w:rsidRDefault="00985FAF" w:rsidP="00985FAF">
      <w:pPr>
        <w:rPr>
          <w:lang w:val="en-US"/>
        </w:rPr>
      </w:pPr>
    </w:p>
    <w:p w:rsidR="00985FAF" w:rsidRPr="00ED1F1A" w:rsidRDefault="00985FAF" w:rsidP="007843A8">
      <w:pPr>
        <w:pStyle w:val="Tabelkop"/>
        <w:keepNext w:val="0"/>
        <w:keepLines w:val="0"/>
        <w:widowControl w:val="0"/>
        <w:rPr>
          <w:lang w:val="en-US"/>
        </w:rPr>
      </w:pPr>
      <w:bookmarkStart w:id="37" w:name="_Ref362855175"/>
      <w:r w:rsidRPr="00ED1F1A">
        <w:rPr>
          <w:lang w:val="en-US"/>
        </w:rPr>
        <w:t xml:space="preserve">Shares </w:t>
      </w:r>
      <w:r>
        <w:rPr>
          <w:lang w:val="en-US"/>
        </w:rPr>
        <w:t>managed</w:t>
      </w:r>
      <w:r w:rsidRPr="00ED1F1A">
        <w:rPr>
          <w:lang w:val="en-US"/>
        </w:rPr>
        <w:t xml:space="preserve"> by </w:t>
      </w:r>
      <w:r>
        <w:rPr>
          <w:lang w:val="en-US"/>
        </w:rPr>
        <w:t>ING</w:t>
      </w:r>
      <w:bookmarkEnd w:id="37"/>
    </w:p>
    <w:tbl>
      <w:tblPr>
        <w:tblStyle w:val="Profundo"/>
        <w:tblW w:w="8728" w:type="dxa"/>
        <w:tblLayout w:type="fixed"/>
        <w:tblLook w:val="04A0"/>
      </w:tblPr>
      <w:tblGrid>
        <w:gridCol w:w="1531"/>
        <w:gridCol w:w="2663"/>
        <w:gridCol w:w="1134"/>
        <w:gridCol w:w="852"/>
        <w:gridCol w:w="1274"/>
        <w:gridCol w:w="1274"/>
      </w:tblGrid>
      <w:tr w:rsidR="0033599C" w:rsidRPr="0033599C" w:rsidTr="00107D5D">
        <w:trPr>
          <w:cnfStyle w:val="100000000000"/>
          <w:tblHeader/>
        </w:trPr>
        <w:tc>
          <w:tcPr>
            <w:cnfStyle w:val="001000000000"/>
            <w:tcW w:w="1531" w:type="dxa"/>
          </w:tcPr>
          <w:p w:rsidR="00A60540" w:rsidRPr="0033599C" w:rsidRDefault="0094488D" w:rsidP="0094488D">
            <w:pPr>
              <w:pStyle w:val="Tabeltekst"/>
              <w:keepLines w:val="0"/>
              <w:widowControl w:val="0"/>
              <w:rPr>
                <w:color w:val="595959" w:themeColor="text1" w:themeTint="A6"/>
              </w:rPr>
            </w:pPr>
            <w:r w:rsidRPr="0033599C">
              <w:rPr>
                <w:color w:val="595959" w:themeColor="text1" w:themeTint="A6"/>
              </w:rPr>
              <w:t>Behind the Brands companies</w:t>
            </w:r>
          </w:p>
        </w:tc>
        <w:tc>
          <w:tcPr>
            <w:tcW w:w="2663" w:type="dxa"/>
          </w:tcPr>
          <w:p w:rsidR="00A60540" w:rsidRPr="0033599C" w:rsidRDefault="00A60540" w:rsidP="0094488D">
            <w:pPr>
              <w:keepLines w:val="0"/>
              <w:widowControl w:val="0"/>
              <w:jc w:val="left"/>
              <w:cnfStyle w:val="100000000000"/>
              <w:rPr>
                <w:color w:val="595959" w:themeColor="text1" w:themeTint="A6"/>
                <w:sz w:val="20"/>
                <w:szCs w:val="20"/>
              </w:rPr>
            </w:pPr>
            <w:r w:rsidRPr="0033599C">
              <w:rPr>
                <w:color w:val="595959" w:themeColor="text1" w:themeTint="A6"/>
                <w:sz w:val="20"/>
                <w:szCs w:val="20"/>
              </w:rPr>
              <w:t>Investor</w:t>
            </w:r>
          </w:p>
        </w:tc>
        <w:tc>
          <w:tcPr>
            <w:tcW w:w="1134" w:type="dxa"/>
          </w:tcPr>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Amount of shares</w:t>
            </w:r>
          </w:p>
        </w:tc>
        <w:tc>
          <w:tcPr>
            <w:tcW w:w="852" w:type="dxa"/>
          </w:tcPr>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 of all shares</w:t>
            </w:r>
          </w:p>
        </w:tc>
        <w:tc>
          <w:tcPr>
            <w:tcW w:w="1274" w:type="dxa"/>
          </w:tcPr>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 xml:space="preserve">Value </w:t>
            </w:r>
          </w:p>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 million)</w:t>
            </w:r>
          </w:p>
        </w:tc>
        <w:tc>
          <w:tcPr>
            <w:tcW w:w="1274" w:type="dxa"/>
          </w:tcPr>
          <w:p w:rsidR="00A60540" w:rsidRPr="0033599C" w:rsidRDefault="00A60540" w:rsidP="0033599C">
            <w:pPr>
              <w:pStyle w:val="Tabeltekst"/>
              <w:keepLines w:val="0"/>
              <w:widowControl w:val="0"/>
              <w:cnfStyle w:val="100000000000"/>
              <w:rPr>
                <w:color w:val="595959" w:themeColor="text1" w:themeTint="A6"/>
              </w:rPr>
            </w:pPr>
            <w:r w:rsidRPr="0033599C">
              <w:rPr>
                <w:color w:val="595959" w:themeColor="text1" w:themeTint="A6"/>
              </w:rPr>
              <w:t>Filing date</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Associated British Foods</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91,320</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0.01</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2.01</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Coca-Cola</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1,939,043</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59.59</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rPr>
                <w:color w:val="595959" w:themeColor="text1" w:themeTint="A6"/>
                <w:sz w:val="20"/>
                <w:szCs w:val="20"/>
              </w:rPr>
            </w:pPr>
            <w:r w:rsidRPr="0033599C">
              <w:rPr>
                <w:color w:val="595959" w:themeColor="text1" w:themeTint="A6"/>
                <w:sz w:val="20"/>
                <w:szCs w:val="20"/>
              </w:rPr>
              <w:t>Coca-Cola</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2,351,835</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0.06</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73.22</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30-04-2013</w:t>
            </w:r>
          </w:p>
        </w:tc>
      </w:tr>
      <w:tr w:rsidR="0033599C" w:rsidRPr="0033599C" w:rsidTr="0094488D">
        <w:tc>
          <w:tcPr>
            <w:cnfStyle w:val="001000000000"/>
            <w:tcW w:w="1531" w:type="dxa"/>
          </w:tcPr>
          <w:p w:rsidR="0043685F" w:rsidRPr="0033599C" w:rsidRDefault="0043685F" w:rsidP="0094488D">
            <w:pPr>
              <w:rPr>
                <w:color w:val="595959" w:themeColor="text1" w:themeTint="A6"/>
                <w:sz w:val="20"/>
                <w:szCs w:val="20"/>
              </w:rPr>
            </w:pPr>
            <w:r w:rsidRPr="0033599C">
              <w:rPr>
                <w:color w:val="595959" w:themeColor="text1" w:themeTint="A6"/>
                <w:sz w:val="20"/>
                <w:szCs w:val="20"/>
              </w:rPr>
              <w:t>Coca-Cola</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Investments (Arizona)</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66,374</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0.00</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2.06</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30-06-2012</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Danone</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247,357</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14.04</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31-05-2013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Danone</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222,242</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11.75</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General Mills</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1,304,026</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0.20</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48.87</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General Mills</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338,242</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12.68</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Kellogg</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771,663</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0.21</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37.79</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Kellogg</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146,521</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0.03</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7.17</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Mondelēz International</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658,591</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15.32</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Mondelēz International</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6,978,573</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0.39</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162.37</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Nestlé</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1,418,069</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72.56</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31-05-2013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Nestlé</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414,987</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0.01</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22.72</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PepsiCo</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2,005,757</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0.13</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120.60</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43685F" w:rsidRPr="0033599C" w:rsidRDefault="0043685F" w:rsidP="0094488D">
            <w:pPr>
              <w:pStyle w:val="Tabeltekst"/>
              <w:keepLines w:val="0"/>
              <w:widowControl w:val="0"/>
              <w:rPr>
                <w:color w:val="595959" w:themeColor="text1" w:themeTint="A6"/>
              </w:rPr>
            </w:pPr>
            <w:r w:rsidRPr="0033599C">
              <w:rPr>
                <w:color w:val="595959" w:themeColor="text1" w:themeTint="A6"/>
              </w:rPr>
              <w:t>PepsiCo</w:t>
            </w:r>
          </w:p>
        </w:tc>
        <w:tc>
          <w:tcPr>
            <w:tcW w:w="2663" w:type="dxa"/>
          </w:tcPr>
          <w:p w:rsidR="0043685F" w:rsidRPr="0033599C" w:rsidRDefault="0043685F"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889,959</w:t>
            </w:r>
          </w:p>
        </w:tc>
        <w:tc>
          <w:tcPr>
            <w:tcW w:w="852"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0.06</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53.50</w:t>
            </w:r>
          </w:p>
        </w:tc>
        <w:tc>
          <w:tcPr>
            <w:tcW w:w="1274" w:type="dxa"/>
          </w:tcPr>
          <w:p w:rsidR="0043685F" w:rsidRPr="0033599C" w:rsidRDefault="0043685F"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03395D" w:rsidRPr="0033599C" w:rsidRDefault="0003395D" w:rsidP="0094488D">
            <w:pPr>
              <w:pStyle w:val="Tabeltekst"/>
              <w:keepLines w:val="0"/>
              <w:widowControl w:val="0"/>
              <w:rPr>
                <w:color w:val="595959" w:themeColor="text1" w:themeTint="A6"/>
              </w:rPr>
            </w:pPr>
            <w:r w:rsidRPr="0033599C">
              <w:rPr>
                <w:color w:val="595959" w:themeColor="text1" w:themeTint="A6"/>
              </w:rPr>
              <w:t>Unilever NV</w:t>
            </w:r>
          </w:p>
        </w:tc>
        <w:tc>
          <w:tcPr>
            <w:tcW w:w="2663" w:type="dxa"/>
          </w:tcPr>
          <w:p w:rsidR="0003395D" w:rsidRPr="0033599C" w:rsidRDefault="0003395D"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3,920,989</w:t>
            </w:r>
          </w:p>
        </w:tc>
        <w:tc>
          <w:tcPr>
            <w:tcW w:w="852"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0.23</w:t>
            </w:r>
          </w:p>
        </w:tc>
        <w:tc>
          <w:tcPr>
            <w:tcW w:w="127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122.89</w:t>
            </w:r>
          </w:p>
        </w:tc>
        <w:tc>
          <w:tcPr>
            <w:tcW w:w="127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04-03-2013</w:t>
            </w:r>
          </w:p>
        </w:tc>
      </w:tr>
      <w:tr w:rsidR="0033599C" w:rsidRPr="0033599C" w:rsidTr="0094488D">
        <w:tc>
          <w:tcPr>
            <w:cnfStyle w:val="001000000000"/>
            <w:tcW w:w="1531" w:type="dxa"/>
          </w:tcPr>
          <w:p w:rsidR="0003395D" w:rsidRPr="0033599C" w:rsidRDefault="0003395D" w:rsidP="0094488D">
            <w:pPr>
              <w:pStyle w:val="Tabeltekst"/>
              <w:keepLines w:val="0"/>
              <w:widowControl w:val="0"/>
              <w:rPr>
                <w:color w:val="595959" w:themeColor="text1" w:themeTint="A6"/>
              </w:rPr>
            </w:pPr>
            <w:r w:rsidRPr="0033599C">
              <w:rPr>
                <w:color w:val="595959" w:themeColor="text1" w:themeTint="A6"/>
              </w:rPr>
              <w:t>Unilever PLC</w:t>
            </w:r>
          </w:p>
        </w:tc>
        <w:tc>
          <w:tcPr>
            <w:tcW w:w="2663" w:type="dxa"/>
          </w:tcPr>
          <w:p w:rsidR="0003395D" w:rsidRPr="0033599C" w:rsidRDefault="0003395D"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422,990</w:t>
            </w:r>
          </w:p>
        </w:tc>
        <w:tc>
          <w:tcPr>
            <w:tcW w:w="852"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0.03</w:t>
            </w:r>
          </w:p>
        </w:tc>
        <w:tc>
          <w:tcPr>
            <w:tcW w:w="127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10.87</w:t>
            </w:r>
          </w:p>
        </w:tc>
        <w:tc>
          <w:tcPr>
            <w:tcW w:w="127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28-12-2011</w:t>
            </w:r>
          </w:p>
        </w:tc>
      </w:tr>
      <w:tr w:rsidR="0033599C" w:rsidRPr="0033599C" w:rsidTr="0094488D">
        <w:tc>
          <w:tcPr>
            <w:cnfStyle w:val="001000000000"/>
            <w:tcW w:w="1531" w:type="dxa"/>
          </w:tcPr>
          <w:p w:rsidR="0003395D" w:rsidRPr="0033599C" w:rsidRDefault="0003395D" w:rsidP="0094488D">
            <w:pPr>
              <w:pStyle w:val="Tabeltekst"/>
              <w:keepLines w:val="0"/>
              <w:widowControl w:val="0"/>
              <w:rPr>
                <w:color w:val="595959" w:themeColor="text1" w:themeTint="A6"/>
              </w:rPr>
            </w:pPr>
            <w:r w:rsidRPr="0033599C">
              <w:rPr>
                <w:color w:val="595959" w:themeColor="text1" w:themeTint="A6"/>
              </w:rPr>
              <w:t>Unilever PLC</w:t>
            </w:r>
          </w:p>
        </w:tc>
        <w:tc>
          <w:tcPr>
            <w:tcW w:w="2663" w:type="dxa"/>
          </w:tcPr>
          <w:p w:rsidR="0003395D" w:rsidRPr="0033599C" w:rsidRDefault="0003395D"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325,297</w:t>
            </w:r>
          </w:p>
        </w:tc>
        <w:tc>
          <w:tcPr>
            <w:tcW w:w="852"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0.03</w:t>
            </w:r>
          </w:p>
        </w:tc>
        <w:tc>
          <w:tcPr>
            <w:tcW w:w="127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10.44</w:t>
            </w:r>
          </w:p>
        </w:tc>
        <w:tc>
          <w:tcPr>
            <w:tcW w:w="127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03395D" w:rsidRPr="0033599C" w:rsidRDefault="0003395D" w:rsidP="0094488D">
            <w:pPr>
              <w:pStyle w:val="Tabeltekst"/>
              <w:keepLines w:val="0"/>
              <w:widowControl w:val="0"/>
              <w:rPr>
                <w:color w:val="595959" w:themeColor="text1" w:themeTint="A6"/>
              </w:rPr>
            </w:pPr>
            <w:r w:rsidRPr="0033599C">
              <w:rPr>
                <w:color w:val="595959" w:themeColor="text1" w:themeTint="A6"/>
              </w:rPr>
              <w:lastRenderedPageBreak/>
              <w:t>Hindustan Unilever</w:t>
            </w:r>
          </w:p>
        </w:tc>
        <w:tc>
          <w:tcPr>
            <w:tcW w:w="2663" w:type="dxa"/>
          </w:tcPr>
          <w:p w:rsidR="0003395D" w:rsidRPr="0033599C" w:rsidRDefault="0003395D"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Asia Pacific (Hong Kong)</w:t>
            </w:r>
          </w:p>
        </w:tc>
        <w:tc>
          <w:tcPr>
            <w:tcW w:w="113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202,245</w:t>
            </w:r>
          </w:p>
        </w:tc>
        <w:tc>
          <w:tcPr>
            <w:tcW w:w="852"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0.01</w:t>
            </w:r>
          </w:p>
        </w:tc>
        <w:tc>
          <w:tcPr>
            <w:tcW w:w="127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1.32</w:t>
            </w:r>
          </w:p>
        </w:tc>
        <w:tc>
          <w:tcPr>
            <w:tcW w:w="1274" w:type="dxa"/>
          </w:tcPr>
          <w:p w:rsidR="0003395D" w:rsidRPr="0033599C" w:rsidRDefault="0003395D"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Borders>
              <w:top w:val="single" w:sz="4" w:space="0" w:color="9FCB3B"/>
              <w:bottom w:val="single" w:sz="4" w:space="0" w:color="9FCB3B"/>
            </w:tcBorders>
          </w:tcPr>
          <w:p w:rsidR="0094488D" w:rsidRPr="0033599C" w:rsidRDefault="0094488D" w:rsidP="0094488D">
            <w:pPr>
              <w:pStyle w:val="Tabeltekst"/>
              <w:keepLines w:val="0"/>
              <w:widowControl w:val="0"/>
              <w:rPr>
                <w:color w:val="595959" w:themeColor="text1" w:themeTint="A6"/>
              </w:rPr>
            </w:pPr>
            <w:r w:rsidRPr="0033599C">
              <w:rPr>
                <w:b/>
                <w:color w:val="595959" w:themeColor="text1" w:themeTint="A6"/>
              </w:rPr>
              <w:t>Palm oil, sugar and soy traders</w:t>
            </w:r>
          </w:p>
        </w:tc>
        <w:tc>
          <w:tcPr>
            <w:tcW w:w="2663" w:type="dxa"/>
            <w:tcBorders>
              <w:top w:val="single" w:sz="4" w:space="0" w:color="9FCB3B"/>
              <w:bottom w:val="single" w:sz="4" w:space="0" w:color="9FCB3B"/>
            </w:tcBorders>
          </w:tcPr>
          <w:p w:rsidR="0094488D" w:rsidRPr="0033599C" w:rsidRDefault="0094488D" w:rsidP="0094488D">
            <w:pPr>
              <w:keepLines w:val="0"/>
              <w:widowControl w:val="0"/>
              <w:jc w:val="left"/>
              <w:cnfStyle w:val="000000000000"/>
              <w:rPr>
                <w:b/>
                <w:color w:val="595959" w:themeColor="text1" w:themeTint="A6"/>
                <w:sz w:val="20"/>
                <w:szCs w:val="20"/>
              </w:rPr>
            </w:pPr>
            <w:r w:rsidRPr="0033599C">
              <w:rPr>
                <w:b/>
                <w:color w:val="595959" w:themeColor="text1" w:themeTint="A6"/>
                <w:sz w:val="20"/>
                <w:szCs w:val="20"/>
              </w:rPr>
              <w:t>Investor</w:t>
            </w:r>
          </w:p>
        </w:tc>
        <w:tc>
          <w:tcPr>
            <w:tcW w:w="1134" w:type="dxa"/>
            <w:tcBorders>
              <w:top w:val="single" w:sz="4" w:space="0" w:color="9FCB3B"/>
              <w:bottom w:val="single" w:sz="4" w:space="0" w:color="9FCB3B"/>
            </w:tcBorders>
          </w:tcPr>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Amount of shares</w:t>
            </w:r>
          </w:p>
        </w:tc>
        <w:tc>
          <w:tcPr>
            <w:tcW w:w="852" w:type="dxa"/>
            <w:tcBorders>
              <w:top w:val="single" w:sz="4" w:space="0" w:color="9FCB3B"/>
              <w:bottom w:val="single" w:sz="4" w:space="0" w:color="9FCB3B"/>
            </w:tcBorders>
          </w:tcPr>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 of all shares</w:t>
            </w:r>
          </w:p>
        </w:tc>
        <w:tc>
          <w:tcPr>
            <w:tcW w:w="1274" w:type="dxa"/>
            <w:tcBorders>
              <w:top w:val="single" w:sz="4" w:space="0" w:color="9FCB3B"/>
              <w:bottom w:val="single" w:sz="4" w:space="0" w:color="9FCB3B"/>
            </w:tcBorders>
          </w:tcPr>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 xml:space="preserve">Value </w:t>
            </w:r>
          </w:p>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 million)</w:t>
            </w:r>
          </w:p>
        </w:tc>
        <w:tc>
          <w:tcPr>
            <w:tcW w:w="1274" w:type="dxa"/>
            <w:tcBorders>
              <w:top w:val="single" w:sz="4" w:space="0" w:color="9FCB3B"/>
              <w:bottom w:val="single" w:sz="4" w:space="0" w:color="9FCB3B"/>
            </w:tcBorders>
          </w:tcPr>
          <w:p w:rsidR="0094488D" w:rsidRPr="0033599C" w:rsidRDefault="0094488D" w:rsidP="0033599C">
            <w:pPr>
              <w:pStyle w:val="Tabeltekst"/>
              <w:keepLines w:val="0"/>
              <w:widowControl w:val="0"/>
              <w:cnfStyle w:val="000000000000"/>
              <w:rPr>
                <w:b/>
                <w:color w:val="595959" w:themeColor="text1" w:themeTint="A6"/>
              </w:rPr>
            </w:pPr>
            <w:r w:rsidRPr="0033599C">
              <w:rPr>
                <w:b/>
                <w:color w:val="595959" w:themeColor="text1" w:themeTint="A6"/>
              </w:rPr>
              <w:t>Filing date</w:t>
            </w:r>
          </w:p>
        </w:tc>
      </w:tr>
      <w:tr w:rsidR="0033599C" w:rsidRPr="0033599C" w:rsidTr="0094488D">
        <w:tc>
          <w:tcPr>
            <w:cnfStyle w:val="001000000000"/>
            <w:tcW w:w="1531" w:type="dxa"/>
            <w:tcBorders>
              <w:top w:val="single" w:sz="4" w:space="0" w:color="9FCB3B"/>
            </w:tcBorders>
          </w:tcPr>
          <w:p w:rsidR="00A60540" w:rsidRPr="0033599C" w:rsidRDefault="007843A8" w:rsidP="0094488D">
            <w:pPr>
              <w:pStyle w:val="Tabeltekst"/>
              <w:keepLines w:val="0"/>
              <w:widowControl w:val="0"/>
              <w:rPr>
                <w:color w:val="595959" w:themeColor="text1" w:themeTint="A6"/>
              </w:rPr>
            </w:pPr>
            <w:r w:rsidRPr="0033599C">
              <w:rPr>
                <w:color w:val="595959" w:themeColor="text1" w:themeTint="A6"/>
              </w:rPr>
              <w:t>Archer Daniels Midland</w:t>
            </w:r>
          </w:p>
        </w:tc>
        <w:tc>
          <w:tcPr>
            <w:tcW w:w="2663" w:type="dxa"/>
            <w:tcBorders>
              <w:top w:val="single" w:sz="4" w:space="0" w:color="9FCB3B"/>
            </w:tcBorders>
          </w:tcPr>
          <w:p w:rsidR="00A60540" w:rsidRPr="0033599C" w:rsidRDefault="007843A8"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Borders>
              <w:top w:val="single" w:sz="4" w:space="0" w:color="9FCB3B"/>
            </w:tcBorders>
          </w:tcPr>
          <w:p w:rsidR="00A60540" w:rsidRPr="0033599C" w:rsidRDefault="007843A8" w:rsidP="0033599C">
            <w:pPr>
              <w:keepLines w:val="0"/>
              <w:widowControl w:val="0"/>
              <w:cnfStyle w:val="000000000000"/>
              <w:rPr>
                <w:color w:val="595959" w:themeColor="text1" w:themeTint="A6"/>
                <w:sz w:val="20"/>
                <w:szCs w:val="20"/>
              </w:rPr>
            </w:pPr>
            <w:r w:rsidRPr="0033599C">
              <w:rPr>
                <w:color w:val="595959" w:themeColor="text1" w:themeTint="A6"/>
                <w:sz w:val="20"/>
                <w:szCs w:val="20"/>
              </w:rPr>
              <w:t>113,256</w:t>
            </w:r>
          </w:p>
        </w:tc>
        <w:tc>
          <w:tcPr>
            <w:tcW w:w="852" w:type="dxa"/>
            <w:tcBorders>
              <w:top w:val="single" w:sz="4" w:space="0" w:color="9FCB3B"/>
            </w:tcBorders>
          </w:tcPr>
          <w:p w:rsidR="00A60540" w:rsidRPr="0033599C" w:rsidRDefault="007843A8" w:rsidP="0033599C">
            <w:pPr>
              <w:keepLines w:val="0"/>
              <w:widowControl w:val="0"/>
              <w:cnfStyle w:val="000000000000"/>
              <w:rPr>
                <w:color w:val="595959" w:themeColor="text1" w:themeTint="A6"/>
                <w:sz w:val="20"/>
                <w:szCs w:val="20"/>
              </w:rPr>
            </w:pPr>
            <w:r w:rsidRPr="0033599C">
              <w:rPr>
                <w:color w:val="595959" w:themeColor="text1" w:themeTint="A6"/>
                <w:sz w:val="20"/>
                <w:szCs w:val="20"/>
              </w:rPr>
              <w:t>0.02</w:t>
            </w:r>
          </w:p>
        </w:tc>
        <w:tc>
          <w:tcPr>
            <w:tcW w:w="1274" w:type="dxa"/>
            <w:tcBorders>
              <w:top w:val="single" w:sz="4" w:space="0" w:color="9FCB3B"/>
            </w:tcBorders>
          </w:tcPr>
          <w:p w:rsidR="00A60540" w:rsidRPr="0033599C" w:rsidRDefault="00261A34" w:rsidP="0033599C">
            <w:pPr>
              <w:keepLines w:val="0"/>
              <w:widowControl w:val="0"/>
              <w:cnfStyle w:val="000000000000"/>
              <w:rPr>
                <w:color w:val="595959" w:themeColor="text1" w:themeTint="A6"/>
                <w:sz w:val="20"/>
                <w:szCs w:val="20"/>
              </w:rPr>
            </w:pPr>
            <w:r w:rsidRPr="0033599C">
              <w:rPr>
                <w:color w:val="595959" w:themeColor="text1" w:themeTint="A6"/>
                <w:sz w:val="20"/>
                <w:szCs w:val="20"/>
              </w:rPr>
              <w:t>2.98</w:t>
            </w:r>
          </w:p>
        </w:tc>
        <w:tc>
          <w:tcPr>
            <w:tcW w:w="1274" w:type="dxa"/>
            <w:tcBorders>
              <w:top w:val="single" w:sz="4" w:space="0" w:color="9FCB3B"/>
            </w:tcBorders>
          </w:tcPr>
          <w:p w:rsidR="00A60540" w:rsidRPr="0033599C" w:rsidRDefault="00A60540"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w:t>
            </w:r>
            <w:r w:rsidR="007060CD" w:rsidRPr="0033599C">
              <w:rPr>
                <w:color w:val="595959" w:themeColor="text1" w:themeTint="A6"/>
                <w:sz w:val="20"/>
                <w:szCs w:val="20"/>
              </w:rPr>
              <w:t>20</w:t>
            </w:r>
            <w:r w:rsidRPr="0033599C">
              <w:rPr>
                <w:color w:val="595959" w:themeColor="text1" w:themeTint="A6"/>
                <w:sz w:val="20"/>
                <w:szCs w:val="20"/>
              </w:rPr>
              <w:t>13</w:t>
            </w:r>
          </w:p>
        </w:tc>
      </w:tr>
      <w:tr w:rsidR="0033599C" w:rsidRPr="0033599C" w:rsidTr="0094488D">
        <w:tc>
          <w:tcPr>
            <w:cnfStyle w:val="001000000000"/>
            <w:tcW w:w="1531" w:type="dxa"/>
          </w:tcPr>
          <w:p w:rsidR="007843A8" w:rsidRPr="0033599C" w:rsidRDefault="007843A8" w:rsidP="0094488D">
            <w:pPr>
              <w:rPr>
                <w:color w:val="595959" w:themeColor="text1" w:themeTint="A6"/>
                <w:sz w:val="20"/>
                <w:szCs w:val="20"/>
              </w:rPr>
            </w:pPr>
            <w:r w:rsidRPr="0033599C">
              <w:rPr>
                <w:color w:val="595959" w:themeColor="text1" w:themeTint="A6"/>
                <w:sz w:val="20"/>
                <w:szCs w:val="20"/>
              </w:rPr>
              <w:t>Archer Daniels Midland</w:t>
            </w:r>
          </w:p>
        </w:tc>
        <w:tc>
          <w:tcPr>
            <w:tcW w:w="2663" w:type="dxa"/>
          </w:tcPr>
          <w:p w:rsidR="007843A8" w:rsidRPr="0033599C" w:rsidRDefault="007843A8"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7843A8" w:rsidRPr="0033599C" w:rsidRDefault="007843A8" w:rsidP="0033599C">
            <w:pPr>
              <w:keepLines w:val="0"/>
              <w:widowControl w:val="0"/>
              <w:cnfStyle w:val="000000000000"/>
              <w:rPr>
                <w:color w:val="595959" w:themeColor="text1" w:themeTint="A6"/>
                <w:sz w:val="20"/>
                <w:szCs w:val="20"/>
              </w:rPr>
            </w:pPr>
            <w:r w:rsidRPr="0033599C">
              <w:rPr>
                <w:color w:val="595959" w:themeColor="text1" w:themeTint="A6"/>
                <w:sz w:val="20"/>
                <w:szCs w:val="20"/>
              </w:rPr>
              <w:t>289,265</w:t>
            </w:r>
          </w:p>
        </w:tc>
        <w:tc>
          <w:tcPr>
            <w:tcW w:w="852" w:type="dxa"/>
          </w:tcPr>
          <w:p w:rsidR="007843A8" w:rsidRPr="0033599C" w:rsidRDefault="007843A8"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7843A8" w:rsidRPr="0033599C" w:rsidRDefault="00261A34" w:rsidP="0033599C">
            <w:pPr>
              <w:keepLines w:val="0"/>
              <w:widowControl w:val="0"/>
              <w:cnfStyle w:val="000000000000"/>
              <w:rPr>
                <w:color w:val="595959" w:themeColor="text1" w:themeTint="A6"/>
                <w:sz w:val="20"/>
                <w:szCs w:val="20"/>
              </w:rPr>
            </w:pPr>
            <w:r w:rsidRPr="0033599C">
              <w:rPr>
                <w:color w:val="595959" w:themeColor="text1" w:themeTint="A6"/>
                <w:sz w:val="20"/>
                <w:szCs w:val="20"/>
              </w:rPr>
              <w:t>7.42</w:t>
            </w:r>
          </w:p>
        </w:tc>
        <w:tc>
          <w:tcPr>
            <w:tcW w:w="1274" w:type="dxa"/>
          </w:tcPr>
          <w:p w:rsidR="007843A8" w:rsidRPr="0033599C" w:rsidRDefault="007843A8"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7843A8" w:rsidRPr="0033599C" w:rsidRDefault="007843A8" w:rsidP="0094488D">
            <w:pPr>
              <w:pStyle w:val="Tabeltekst"/>
              <w:keepLines w:val="0"/>
              <w:widowControl w:val="0"/>
              <w:rPr>
                <w:color w:val="595959" w:themeColor="text1" w:themeTint="A6"/>
              </w:rPr>
            </w:pPr>
            <w:r w:rsidRPr="0033599C">
              <w:rPr>
                <w:color w:val="595959" w:themeColor="text1" w:themeTint="A6"/>
              </w:rPr>
              <w:t>Bunge</w:t>
            </w:r>
          </w:p>
        </w:tc>
        <w:tc>
          <w:tcPr>
            <w:tcW w:w="2663" w:type="dxa"/>
          </w:tcPr>
          <w:p w:rsidR="007843A8" w:rsidRPr="0033599C" w:rsidRDefault="007843A8"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7843A8" w:rsidRPr="0033599C" w:rsidRDefault="007843A8" w:rsidP="0033599C">
            <w:pPr>
              <w:keepLines w:val="0"/>
              <w:widowControl w:val="0"/>
              <w:cnfStyle w:val="000000000000"/>
              <w:rPr>
                <w:color w:val="595959" w:themeColor="text1" w:themeTint="A6"/>
                <w:sz w:val="20"/>
                <w:szCs w:val="20"/>
              </w:rPr>
            </w:pPr>
            <w:r w:rsidRPr="0033599C">
              <w:rPr>
                <w:color w:val="595959" w:themeColor="text1" w:themeTint="A6"/>
                <w:sz w:val="20"/>
                <w:szCs w:val="20"/>
              </w:rPr>
              <w:t>56,941</w:t>
            </w:r>
          </w:p>
        </w:tc>
        <w:tc>
          <w:tcPr>
            <w:tcW w:w="852" w:type="dxa"/>
          </w:tcPr>
          <w:p w:rsidR="007843A8" w:rsidRPr="0033599C" w:rsidRDefault="007843A8" w:rsidP="0033599C">
            <w:pPr>
              <w:keepLines w:val="0"/>
              <w:widowControl w:val="0"/>
              <w:cnfStyle w:val="000000000000"/>
              <w:rPr>
                <w:color w:val="595959" w:themeColor="text1" w:themeTint="A6"/>
                <w:sz w:val="20"/>
                <w:szCs w:val="20"/>
              </w:rPr>
            </w:pPr>
            <w:r w:rsidRPr="0033599C">
              <w:rPr>
                <w:color w:val="595959" w:themeColor="text1" w:themeTint="A6"/>
                <w:sz w:val="20"/>
                <w:szCs w:val="20"/>
              </w:rPr>
              <w:t>0.04</w:t>
            </w:r>
          </w:p>
        </w:tc>
        <w:tc>
          <w:tcPr>
            <w:tcW w:w="1274" w:type="dxa"/>
          </w:tcPr>
          <w:p w:rsidR="007843A8" w:rsidRPr="0033599C" w:rsidRDefault="00261A34" w:rsidP="0033599C">
            <w:pPr>
              <w:keepLines w:val="0"/>
              <w:widowControl w:val="0"/>
              <w:cnfStyle w:val="000000000000"/>
              <w:rPr>
                <w:color w:val="595959" w:themeColor="text1" w:themeTint="A6"/>
                <w:sz w:val="20"/>
                <w:szCs w:val="20"/>
              </w:rPr>
            </w:pPr>
            <w:r w:rsidRPr="0033599C">
              <w:rPr>
                <w:color w:val="595959" w:themeColor="text1" w:themeTint="A6"/>
                <w:sz w:val="20"/>
                <w:szCs w:val="20"/>
              </w:rPr>
              <w:t>3.19</w:t>
            </w:r>
          </w:p>
        </w:tc>
        <w:tc>
          <w:tcPr>
            <w:tcW w:w="1274" w:type="dxa"/>
          </w:tcPr>
          <w:p w:rsidR="007843A8" w:rsidRPr="0033599C" w:rsidRDefault="007843A8"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r w:rsidR="0033599C" w:rsidRPr="0033599C" w:rsidTr="0094488D">
        <w:tc>
          <w:tcPr>
            <w:cnfStyle w:val="001000000000"/>
            <w:tcW w:w="1531" w:type="dxa"/>
          </w:tcPr>
          <w:p w:rsidR="00CA1058" w:rsidRPr="0033599C" w:rsidRDefault="00CA1058" w:rsidP="0094488D">
            <w:pPr>
              <w:pStyle w:val="Tabeltekst"/>
              <w:keepLines w:val="0"/>
              <w:widowControl w:val="0"/>
              <w:rPr>
                <w:color w:val="595959" w:themeColor="text1" w:themeTint="A6"/>
              </w:rPr>
            </w:pPr>
            <w:r w:rsidRPr="0033599C">
              <w:rPr>
                <w:color w:val="595959" w:themeColor="text1" w:themeTint="A6"/>
              </w:rPr>
              <w:t>Wilmar International</w:t>
            </w:r>
          </w:p>
        </w:tc>
        <w:tc>
          <w:tcPr>
            <w:tcW w:w="2663" w:type="dxa"/>
          </w:tcPr>
          <w:p w:rsidR="00CA1058" w:rsidRPr="0033599C" w:rsidRDefault="00CA1058"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(Netherlands)</w:t>
            </w:r>
          </w:p>
        </w:tc>
        <w:tc>
          <w:tcPr>
            <w:tcW w:w="1134" w:type="dxa"/>
          </w:tcPr>
          <w:p w:rsidR="00CA1058" w:rsidRPr="0033599C" w:rsidRDefault="00CA1058" w:rsidP="0033599C">
            <w:pPr>
              <w:keepLines w:val="0"/>
              <w:widowControl w:val="0"/>
              <w:cnfStyle w:val="000000000000"/>
              <w:rPr>
                <w:color w:val="595959" w:themeColor="text1" w:themeTint="A6"/>
                <w:sz w:val="20"/>
                <w:szCs w:val="20"/>
              </w:rPr>
            </w:pPr>
            <w:r w:rsidRPr="0033599C">
              <w:rPr>
                <w:color w:val="595959" w:themeColor="text1" w:themeTint="A6"/>
                <w:sz w:val="20"/>
                <w:szCs w:val="20"/>
              </w:rPr>
              <w:t>3,243,466</w:t>
            </w:r>
          </w:p>
        </w:tc>
        <w:tc>
          <w:tcPr>
            <w:tcW w:w="852" w:type="dxa"/>
          </w:tcPr>
          <w:p w:rsidR="00CA1058" w:rsidRPr="0033599C" w:rsidRDefault="00CA1058" w:rsidP="0033599C">
            <w:pPr>
              <w:keepLines w:val="0"/>
              <w:widowControl w:val="0"/>
              <w:cnfStyle w:val="000000000000"/>
              <w:rPr>
                <w:color w:val="595959" w:themeColor="text1" w:themeTint="A6"/>
                <w:sz w:val="20"/>
                <w:szCs w:val="20"/>
              </w:rPr>
            </w:pPr>
            <w:r w:rsidRPr="0033599C">
              <w:rPr>
                <w:color w:val="595959" w:themeColor="text1" w:themeTint="A6"/>
                <w:sz w:val="20"/>
                <w:szCs w:val="20"/>
              </w:rPr>
              <w:t>0.05</w:t>
            </w:r>
          </w:p>
        </w:tc>
        <w:tc>
          <w:tcPr>
            <w:tcW w:w="1274" w:type="dxa"/>
          </w:tcPr>
          <w:p w:rsidR="00CA1058" w:rsidRPr="0033599C" w:rsidRDefault="00E8285D" w:rsidP="0033599C">
            <w:pPr>
              <w:keepLines w:val="0"/>
              <w:widowControl w:val="0"/>
              <w:cnfStyle w:val="000000000000"/>
              <w:rPr>
                <w:color w:val="595959" w:themeColor="text1" w:themeTint="A6"/>
                <w:sz w:val="20"/>
                <w:szCs w:val="20"/>
              </w:rPr>
            </w:pPr>
            <w:r w:rsidRPr="0033599C">
              <w:rPr>
                <w:color w:val="595959" w:themeColor="text1" w:themeTint="A6"/>
                <w:sz w:val="20"/>
                <w:szCs w:val="20"/>
              </w:rPr>
              <w:t>6.44</w:t>
            </w:r>
          </w:p>
        </w:tc>
        <w:tc>
          <w:tcPr>
            <w:tcW w:w="1274" w:type="dxa"/>
          </w:tcPr>
          <w:p w:rsidR="00CA1058" w:rsidRPr="0033599C" w:rsidRDefault="00CA1058" w:rsidP="0033599C">
            <w:pPr>
              <w:keepLines w:val="0"/>
              <w:widowControl w:val="0"/>
              <w:cnfStyle w:val="000000000000"/>
              <w:rPr>
                <w:color w:val="595959" w:themeColor="text1" w:themeTint="A6"/>
                <w:sz w:val="20"/>
                <w:szCs w:val="20"/>
              </w:rPr>
            </w:pPr>
            <w:r w:rsidRPr="0033599C">
              <w:rPr>
                <w:color w:val="595959" w:themeColor="text1" w:themeTint="A6"/>
                <w:sz w:val="20"/>
                <w:szCs w:val="20"/>
              </w:rPr>
              <w:t>31-05-2013</w:t>
            </w:r>
          </w:p>
        </w:tc>
      </w:tr>
      <w:tr w:rsidR="0033599C" w:rsidRPr="0033599C" w:rsidTr="0094488D">
        <w:tc>
          <w:tcPr>
            <w:cnfStyle w:val="001000000000"/>
            <w:tcW w:w="1531" w:type="dxa"/>
          </w:tcPr>
          <w:p w:rsidR="00CA1058" w:rsidRPr="0033599C" w:rsidRDefault="00CA1058" w:rsidP="0094488D">
            <w:pPr>
              <w:pStyle w:val="Tabeltekst"/>
              <w:keepLines w:val="0"/>
              <w:widowControl w:val="0"/>
              <w:rPr>
                <w:color w:val="595959" w:themeColor="text1" w:themeTint="A6"/>
              </w:rPr>
            </w:pPr>
            <w:r w:rsidRPr="0033599C">
              <w:rPr>
                <w:color w:val="595959" w:themeColor="text1" w:themeTint="A6"/>
              </w:rPr>
              <w:t>Wilmar International</w:t>
            </w:r>
          </w:p>
        </w:tc>
        <w:tc>
          <w:tcPr>
            <w:tcW w:w="2663" w:type="dxa"/>
          </w:tcPr>
          <w:p w:rsidR="00CA1058" w:rsidRPr="0033599C" w:rsidRDefault="00CA1058" w:rsidP="0094488D">
            <w:pPr>
              <w:pStyle w:val="Tabeltekst"/>
              <w:keepLines w:val="0"/>
              <w:widowControl w:val="0"/>
              <w:jc w:val="left"/>
              <w:cnfStyle w:val="000000000000"/>
              <w:rPr>
                <w:color w:val="595959" w:themeColor="text1" w:themeTint="A6"/>
              </w:rPr>
            </w:pPr>
            <w:r w:rsidRPr="0033599C">
              <w:rPr>
                <w:color w:val="595959" w:themeColor="text1" w:themeTint="A6"/>
              </w:rPr>
              <w:t>ING Investment Management Co</w:t>
            </w:r>
          </w:p>
        </w:tc>
        <w:tc>
          <w:tcPr>
            <w:tcW w:w="1134" w:type="dxa"/>
          </w:tcPr>
          <w:p w:rsidR="00CA1058" w:rsidRPr="0033599C" w:rsidRDefault="00261A34" w:rsidP="0033599C">
            <w:pPr>
              <w:keepLines w:val="0"/>
              <w:widowControl w:val="0"/>
              <w:cnfStyle w:val="000000000000"/>
              <w:rPr>
                <w:color w:val="595959" w:themeColor="text1" w:themeTint="A6"/>
                <w:sz w:val="20"/>
                <w:szCs w:val="20"/>
              </w:rPr>
            </w:pPr>
            <w:r w:rsidRPr="0033599C">
              <w:rPr>
                <w:color w:val="595959" w:themeColor="text1" w:themeTint="A6"/>
                <w:sz w:val="20"/>
                <w:szCs w:val="20"/>
              </w:rPr>
              <w:t>545,000</w:t>
            </w:r>
          </w:p>
        </w:tc>
        <w:tc>
          <w:tcPr>
            <w:tcW w:w="852" w:type="dxa"/>
          </w:tcPr>
          <w:p w:rsidR="00CA1058" w:rsidRPr="0033599C" w:rsidRDefault="00261A34" w:rsidP="0033599C">
            <w:pPr>
              <w:keepLines w:val="0"/>
              <w:widowControl w:val="0"/>
              <w:cnfStyle w:val="000000000000"/>
              <w:rPr>
                <w:color w:val="595959" w:themeColor="text1" w:themeTint="A6"/>
                <w:sz w:val="20"/>
                <w:szCs w:val="20"/>
              </w:rPr>
            </w:pPr>
            <w:r w:rsidRPr="0033599C">
              <w:rPr>
                <w:color w:val="595959" w:themeColor="text1" w:themeTint="A6"/>
                <w:sz w:val="20"/>
                <w:szCs w:val="20"/>
              </w:rPr>
              <w:t>0.01</w:t>
            </w:r>
          </w:p>
        </w:tc>
        <w:tc>
          <w:tcPr>
            <w:tcW w:w="1274" w:type="dxa"/>
          </w:tcPr>
          <w:p w:rsidR="00CA1058" w:rsidRPr="0033599C" w:rsidRDefault="00261A34" w:rsidP="0033599C">
            <w:pPr>
              <w:keepLines w:val="0"/>
              <w:widowControl w:val="0"/>
              <w:cnfStyle w:val="000000000000"/>
              <w:rPr>
                <w:color w:val="595959" w:themeColor="text1" w:themeTint="A6"/>
                <w:sz w:val="20"/>
                <w:szCs w:val="20"/>
              </w:rPr>
            </w:pPr>
            <w:r w:rsidRPr="0033599C">
              <w:rPr>
                <w:color w:val="595959" w:themeColor="text1" w:themeTint="A6"/>
                <w:sz w:val="20"/>
                <w:szCs w:val="20"/>
              </w:rPr>
              <w:t>1.16</w:t>
            </w:r>
          </w:p>
        </w:tc>
        <w:tc>
          <w:tcPr>
            <w:tcW w:w="1274" w:type="dxa"/>
          </w:tcPr>
          <w:p w:rsidR="00CA1058" w:rsidRPr="0033599C" w:rsidRDefault="00261A34" w:rsidP="0033599C">
            <w:pPr>
              <w:keepLines w:val="0"/>
              <w:widowControl w:val="0"/>
              <w:cnfStyle w:val="000000000000"/>
              <w:rPr>
                <w:color w:val="595959" w:themeColor="text1" w:themeTint="A6"/>
                <w:sz w:val="20"/>
                <w:szCs w:val="20"/>
              </w:rPr>
            </w:pPr>
            <w:r w:rsidRPr="0033599C">
              <w:rPr>
                <w:color w:val="595959" w:themeColor="text1" w:themeTint="A6"/>
                <w:sz w:val="20"/>
                <w:szCs w:val="20"/>
              </w:rPr>
              <w:t>31-03-2013</w:t>
            </w:r>
          </w:p>
        </w:tc>
      </w:tr>
    </w:tbl>
    <w:p w:rsidR="00985FAF" w:rsidRPr="00144FE5" w:rsidRDefault="00985FAF" w:rsidP="00985FAF">
      <w:pPr>
        <w:pStyle w:val="Tabelbron"/>
        <w:rPr>
          <w:lang w:val="en-US"/>
        </w:rPr>
      </w:pPr>
      <w:r w:rsidRPr="00144FE5">
        <w:rPr>
          <w:lang w:val="en-US"/>
        </w:rPr>
        <w:t xml:space="preserve">Source: </w:t>
      </w:r>
      <w:r w:rsidRPr="00144FE5">
        <w:t xml:space="preserve">Thomson ONE Banker, “Share ownership”, Thomson ONE Banker (www.thomsonone.com), </w:t>
      </w:r>
      <w:r>
        <w:t>Viewed in August 2013</w:t>
      </w:r>
      <w:r w:rsidRPr="00144FE5">
        <w:rPr>
          <w:lang w:val="en-US"/>
        </w:rPr>
        <w:t>.</w:t>
      </w:r>
    </w:p>
    <w:p w:rsidR="00985FAF" w:rsidRPr="00144FE5" w:rsidRDefault="00985FAF" w:rsidP="00985FAF">
      <w:pPr>
        <w:rPr>
          <w:lang w:val="en-US"/>
        </w:rPr>
      </w:pPr>
    </w:p>
    <w:p w:rsidR="00985FAF" w:rsidRPr="00546F0A" w:rsidRDefault="00985FAF" w:rsidP="00985FAF">
      <w:pPr>
        <w:pStyle w:val="Heading2"/>
        <w:rPr>
          <w:lang w:val="en-US"/>
        </w:rPr>
      </w:pPr>
      <w:bookmarkStart w:id="38" w:name="_Toc365554351"/>
      <w:r>
        <w:rPr>
          <w:lang w:val="en-US"/>
        </w:rPr>
        <w:t>Share issuances</w:t>
      </w:r>
      <w:bookmarkEnd w:id="38"/>
    </w:p>
    <w:p w:rsidR="00FC5868" w:rsidRDefault="00FC5868" w:rsidP="00FC5868">
      <w:r w:rsidRPr="00C25ADD">
        <w:t xml:space="preserve">No information was found on the participation of </w:t>
      </w:r>
      <w:r>
        <w:t>ING</w:t>
      </w:r>
      <w:r w:rsidRPr="00C25ADD">
        <w:t xml:space="preserve"> in share issuances by </w:t>
      </w:r>
      <w:r>
        <w:t>the selected food companies since 1 July 2010.</w:t>
      </w:r>
    </w:p>
    <w:p w:rsidR="00985FAF" w:rsidRPr="00FC5868" w:rsidRDefault="00985FAF" w:rsidP="00985FAF"/>
    <w:p w:rsidR="00985FAF" w:rsidRDefault="00985FAF" w:rsidP="00985FAF">
      <w:pPr>
        <w:pStyle w:val="Heading2"/>
        <w:rPr>
          <w:lang w:val="en-US"/>
        </w:rPr>
      </w:pPr>
      <w:bookmarkStart w:id="39" w:name="_Toc365554352"/>
      <w:r>
        <w:rPr>
          <w:lang w:val="en-US"/>
        </w:rPr>
        <w:t>Bondholdings</w:t>
      </w:r>
      <w:bookmarkEnd w:id="39"/>
    </w:p>
    <w:p w:rsidR="009C7232" w:rsidRDefault="00E55126" w:rsidP="009C7232">
      <w:pPr>
        <w:rPr>
          <w:lang w:val="en-US"/>
        </w:rPr>
      </w:pPr>
      <w:r>
        <w:rPr>
          <w:lang w:val="en-US"/>
        </w:rPr>
        <w:fldChar w:fldCharType="begin"/>
      </w:r>
      <w:r w:rsidR="009C7232">
        <w:rPr>
          <w:lang w:val="en-US"/>
        </w:rPr>
        <w:instrText xml:space="preserve"> REF _Ref363468558 \r \h </w:instrText>
      </w:r>
      <w:r>
        <w:rPr>
          <w:lang w:val="en-US"/>
        </w:rPr>
      </w:r>
      <w:r>
        <w:rPr>
          <w:lang w:val="en-US"/>
        </w:rPr>
        <w:fldChar w:fldCharType="separate"/>
      </w:r>
      <w:r w:rsidR="00D74F7E">
        <w:rPr>
          <w:lang w:val="en-US"/>
        </w:rPr>
        <w:t>Table 7</w:t>
      </w:r>
      <w:r>
        <w:rPr>
          <w:lang w:val="en-US"/>
        </w:rPr>
        <w:fldChar w:fldCharType="end"/>
      </w:r>
      <w:r w:rsidR="009C7232">
        <w:rPr>
          <w:lang w:val="en-US"/>
        </w:rPr>
        <w:t xml:space="preserve"> </w:t>
      </w:r>
      <w:r w:rsidR="009C7232" w:rsidRPr="009B6037">
        <w:rPr>
          <w:lang w:val="en-US"/>
        </w:rPr>
        <w:t xml:space="preserve">gives an overview of all the </w:t>
      </w:r>
      <w:r w:rsidR="009C7232">
        <w:rPr>
          <w:lang w:val="en-US"/>
        </w:rPr>
        <w:t>bonds</w:t>
      </w:r>
      <w:r w:rsidR="009C7232" w:rsidRPr="009B6037">
        <w:rPr>
          <w:lang w:val="en-US"/>
        </w:rPr>
        <w:t xml:space="preserve"> of </w:t>
      </w:r>
      <w:r w:rsidR="009C7232">
        <w:rPr>
          <w:lang w:val="en-US"/>
        </w:rPr>
        <w:t>food companies</w:t>
      </w:r>
      <w:r w:rsidR="009C7232" w:rsidRPr="009B6037">
        <w:rPr>
          <w:lang w:val="en-US"/>
        </w:rPr>
        <w:t xml:space="preserve"> owned by investment funds managed by </w:t>
      </w:r>
      <w:r w:rsidR="009C7232">
        <w:rPr>
          <w:lang w:val="en-US"/>
        </w:rPr>
        <w:t>ING</w:t>
      </w:r>
      <w:r w:rsidR="009C7232" w:rsidRPr="009B6037">
        <w:rPr>
          <w:lang w:val="en-US"/>
        </w:rPr>
        <w:t xml:space="preserve"> and its subsidiaries as per the most recent filing date available</w:t>
      </w:r>
      <w:r w:rsidR="009C7232">
        <w:rPr>
          <w:lang w:val="en-US"/>
        </w:rPr>
        <w:t>.</w:t>
      </w:r>
    </w:p>
    <w:p w:rsidR="009C7232" w:rsidRPr="000C3229" w:rsidRDefault="009C7232" w:rsidP="009C7232">
      <w:pPr>
        <w:rPr>
          <w:lang w:val="en-US"/>
        </w:rPr>
      </w:pPr>
    </w:p>
    <w:p w:rsidR="009C7232" w:rsidRDefault="009C7232" w:rsidP="00F778C7">
      <w:pPr>
        <w:pStyle w:val="Tabelkop"/>
        <w:keepNext w:val="0"/>
        <w:keepLines w:val="0"/>
        <w:widowControl w:val="0"/>
        <w:rPr>
          <w:lang w:val="en-US"/>
        </w:rPr>
      </w:pPr>
      <w:bookmarkStart w:id="40" w:name="_Ref363468558"/>
      <w:r>
        <w:rPr>
          <w:lang w:val="en-US"/>
        </w:rPr>
        <w:t>Bonds</w:t>
      </w:r>
      <w:r w:rsidRPr="00ED1F1A">
        <w:rPr>
          <w:lang w:val="en-US"/>
        </w:rPr>
        <w:t xml:space="preserve"> </w:t>
      </w:r>
      <w:r>
        <w:rPr>
          <w:lang w:val="en-US"/>
        </w:rPr>
        <w:t>managed</w:t>
      </w:r>
      <w:r w:rsidRPr="00ED1F1A">
        <w:rPr>
          <w:lang w:val="en-US"/>
        </w:rPr>
        <w:t xml:space="preserve"> by </w:t>
      </w:r>
      <w:bookmarkEnd w:id="40"/>
      <w:r>
        <w:rPr>
          <w:lang w:val="en-US"/>
        </w:rPr>
        <w:t>ING</w:t>
      </w:r>
    </w:p>
    <w:tbl>
      <w:tblPr>
        <w:tblStyle w:val="Profundo"/>
        <w:tblW w:w="8939" w:type="dxa"/>
        <w:tblBorders>
          <w:top w:val="none" w:sz="0" w:space="0" w:color="auto"/>
        </w:tblBorders>
        <w:tblLayout w:type="fixed"/>
        <w:tblLook w:val="04A0"/>
      </w:tblPr>
      <w:tblGrid>
        <w:gridCol w:w="1636"/>
        <w:gridCol w:w="3903"/>
        <w:gridCol w:w="852"/>
        <w:gridCol w:w="1274"/>
        <w:gridCol w:w="1274"/>
      </w:tblGrid>
      <w:tr w:rsidR="004A0F8B" w:rsidRPr="004A0F8B" w:rsidTr="00107D5D">
        <w:trPr>
          <w:cnfStyle w:val="100000000000"/>
          <w:tblHeader/>
        </w:trPr>
        <w:tc>
          <w:tcPr>
            <w:cnfStyle w:val="001000000000"/>
            <w:tcW w:w="1636" w:type="dxa"/>
            <w:tcBorders>
              <w:top w:val="single" w:sz="4" w:space="0" w:color="9FCB3B"/>
            </w:tcBorders>
          </w:tcPr>
          <w:p w:rsidR="001439AF" w:rsidRPr="004A0F8B" w:rsidRDefault="001439AF" w:rsidP="004A0F8B">
            <w:pPr>
              <w:pStyle w:val="Tabeltekst"/>
              <w:keepLines w:val="0"/>
              <w:widowControl w:val="0"/>
              <w:rPr>
                <w:b w:val="0"/>
                <w:color w:val="595959" w:themeColor="text1" w:themeTint="A6"/>
              </w:rPr>
            </w:pPr>
            <w:r w:rsidRPr="004A0F8B">
              <w:rPr>
                <w:color w:val="595959" w:themeColor="text1" w:themeTint="A6"/>
              </w:rPr>
              <w:t>Behind the Brands companies</w:t>
            </w:r>
          </w:p>
        </w:tc>
        <w:tc>
          <w:tcPr>
            <w:tcW w:w="3903" w:type="dxa"/>
            <w:tcBorders>
              <w:top w:val="single" w:sz="4" w:space="0" w:color="9FCB3B"/>
            </w:tcBorders>
          </w:tcPr>
          <w:p w:rsidR="001439AF" w:rsidRPr="004A0F8B" w:rsidRDefault="001439AF" w:rsidP="004A0F8B">
            <w:pPr>
              <w:keepLines w:val="0"/>
              <w:widowControl w:val="0"/>
              <w:jc w:val="left"/>
              <w:cnfStyle w:val="100000000000"/>
              <w:rPr>
                <w:b w:val="0"/>
                <w:color w:val="595959" w:themeColor="text1" w:themeTint="A6"/>
                <w:sz w:val="20"/>
                <w:szCs w:val="20"/>
              </w:rPr>
            </w:pPr>
            <w:r w:rsidRPr="004A0F8B">
              <w:rPr>
                <w:color w:val="595959" w:themeColor="text1" w:themeTint="A6"/>
                <w:sz w:val="20"/>
                <w:szCs w:val="20"/>
              </w:rPr>
              <w:t>Investor</w:t>
            </w:r>
          </w:p>
        </w:tc>
        <w:tc>
          <w:tcPr>
            <w:tcW w:w="852" w:type="dxa"/>
            <w:tcBorders>
              <w:top w:val="single" w:sz="4" w:space="0" w:color="9FCB3B"/>
            </w:tcBorders>
          </w:tcPr>
          <w:p w:rsidR="001439AF" w:rsidRPr="004A0F8B" w:rsidRDefault="001439AF" w:rsidP="004A0F8B">
            <w:pPr>
              <w:pStyle w:val="Tabeltekst"/>
              <w:keepLines w:val="0"/>
              <w:widowControl w:val="0"/>
              <w:cnfStyle w:val="100000000000"/>
              <w:rPr>
                <w:b w:val="0"/>
                <w:color w:val="595959" w:themeColor="text1" w:themeTint="A6"/>
              </w:rPr>
            </w:pPr>
            <w:r w:rsidRPr="004A0F8B">
              <w:rPr>
                <w:color w:val="595959" w:themeColor="text1" w:themeTint="A6"/>
              </w:rPr>
              <w:t>% of all bonds</w:t>
            </w:r>
          </w:p>
        </w:tc>
        <w:tc>
          <w:tcPr>
            <w:tcW w:w="1274" w:type="dxa"/>
            <w:tcBorders>
              <w:top w:val="single" w:sz="4" w:space="0" w:color="9FCB3B"/>
            </w:tcBorders>
          </w:tcPr>
          <w:p w:rsidR="001439AF" w:rsidRPr="004A0F8B" w:rsidRDefault="001439AF" w:rsidP="004A0F8B">
            <w:pPr>
              <w:pStyle w:val="Tabeltekst"/>
              <w:keepLines w:val="0"/>
              <w:widowControl w:val="0"/>
              <w:cnfStyle w:val="100000000000"/>
              <w:rPr>
                <w:b w:val="0"/>
                <w:color w:val="595959" w:themeColor="text1" w:themeTint="A6"/>
              </w:rPr>
            </w:pPr>
            <w:r w:rsidRPr="004A0F8B">
              <w:rPr>
                <w:color w:val="595959" w:themeColor="text1" w:themeTint="A6"/>
              </w:rPr>
              <w:t xml:space="preserve">Value </w:t>
            </w:r>
          </w:p>
          <w:p w:rsidR="001439AF" w:rsidRPr="004A0F8B" w:rsidRDefault="001439AF" w:rsidP="004A0F8B">
            <w:pPr>
              <w:pStyle w:val="Tabeltekst"/>
              <w:keepLines w:val="0"/>
              <w:widowControl w:val="0"/>
              <w:cnfStyle w:val="100000000000"/>
              <w:rPr>
                <w:b w:val="0"/>
                <w:color w:val="595959" w:themeColor="text1" w:themeTint="A6"/>
              </w:rPr>
            </w:pPr>
            <w:r w:rsidRPr="004A0F8B">
              <w:rPr>
                <w:color w:val="595959" w:themeColor="text1" w:themeTint="A6"/>
              </w:rPr>
              <w:t>(€ million)</w:t>
            </w:r>
          </w:p>
        </w:tc>
        <w:tc>
          <w:tcPr>
            <w:tcW w:w="1274" w:type="dxa"/>
            <w:tcBorders>
              <w:top w:val="single" w:sz="4" w:space="0" w:color="9FCB3B"/>
            </w:tcBorders>
          </w:tcPr>
          <w:p w:rsidR="001439AF" w:rsidRPr="004A0F8B" w:rsidRDefault="001439AF" w:rsidP="004A0F8B">
            <w:pPr>
              <w:pStyle w:val="Tabeltekst"/>
              <w:keepLines w:val="0"/>
              <w:widowControl w:val="0"/>
              <w:cnfStyle w:val="100000000000"/>
              <w:rPr>
                <w:b w:val="0"/>
                <w:color w:val="595959" w:themeColor="text1" w:themeTint="A6"/>
              </w:rPr>
            </w:pPr>
            <w:r w:rsidRPr="004A0F8B">
              <w:rPr>
                <w:color w:val="595959" w:themeColor="text1" w:themeTint="A6"/>
              </w:rPr>
              <w:t>Filing date</w:t>
            </w:r>
          </w:p>
        </w:tc>
      </w:tr>
      <w:tr w:rsidR="004A0F8B" w:rsidRPr="004A0F8B" w:rsidTr="004A0F8B">
        <w:tc>
          <w:tcPr>
            <w:cnfStyle w:val="001000000000"/>
            <w:tcW w:w="1636" w:type="dxa"/>
            <w:tcBorders>
              <w:top w:val="single" w:sz="4" w:space="0" w:color="9FCB3B"/>
            </w:tcBorders>
          </w:tcPr>
          <w:p w:rsidR="001439AF" w:rsidRPr="004A0F8B" w:rsidRDefault="002A4AAF" w:rsidP="004A0F8B">
            <w:pPr>
              <w:pStyle w:val="Tabeltekst"/>
              <w:keepLines w:val="0"/>
              <w:widowControl w:val="0"/>
              <w:rPr>
                <w:color w:val="595959" w:themeColor="text1" w:themeTint="A6"/>
              </w:rPr>
            </w:pPr>
            <w:r w:rsidRPr="004A0F8B">
              <w:rPr>
                <w:color w:val="595959" w:themeColor="text1" w:themeTint="A6"/>
              </w:rPr>
              <w:t>Coca-Cola</w:t>
            </w:r>
          </w:p>
        </w:tc>
        <w:tc>
          <w:tcPr>
            <w:tcW w:w="3903" w:type="dxa"/>
            <w:tcBorders>
              <w:top w:val="single" w:sz="4" w:space="0" w:color="9FCB3B"/>
            </w:tcBorders>
          </w:tcPr>
          <w:p w:rsidR="001439AF" w:rsidRPr="004A0F8B" w:rsidRDefault="002A4AAF" w:rsidP="004A0F8B">
            <w:pPr>
              <w:pStyle w:val="Tabeltekst"/>
              <w:keepLines w:val="0"/>
              <w:widowControl w:val="0"/>
              <w:jc w:val="left"/>
              <w:cnfStyle w:val="000000000000"/>
              <w:rPr>
                <w:color w:val="595959" w:themeColor="text1" w:themeTint="A6"/>
              </w:rPr>
            </w:pPr>
            <w:r w:rsidRPr="004A0F8B">
              <w:rPr>
                <w:color w:val="595959" w:themeColor="text1" w:themeTint="A6"/>
              </w:rPr>
              <w:t>ING Investment LLC</w:t>
            </w:r>
          </w:p>
        </w:tc>
        <w:tc>
          <w:tcPr>
            <w:tcW w:w="852" w:type="dxa"/>
            <w:tcBorders>
              <w:top w:val="single" w:sz="4" w:space="0" w:color="9FCB3B"/>
            </w:tcBorders>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0.03</w:t>
            </w:r>
          </w:p>
        </w:tc>
        <w:tc>
          <w:tcPr>
            <w:tcW w:w="1274" w:type="dxa"/>
            <w:tcBorders>
              <w:top w:val="single" w:sz="4" w:space="0" w:color="9FCB3B"/>
            </w:tcBorders>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3.41</w:t>
            </w:r>
          </w:p>
        </w:tc>
        <w:tc>
          <w:tcPr>
            <w:tcW w:w="1274" w:type="dxa"/>
            <w:tcBorders>
              <w:top w:val="single" w:sz="4" w:space="0" w:color="9FCB3B"/>
            </w:tcBorders>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31-12-2012</w:t>
            </w:r>
          </w:p>
        </w:tc>
      </w:tr>
      <w:tr w:rsidR="004A0F8B" w:rsidRPr="004A0F8B" w:rsidTr="004A0F8B">
        <w:tc>
          <w:tcPr>
            <w:cnfStyle w:val="001000000000"/>
            <w:tcW w:w="1636" w:type="dxa"/>
          </w:tcPr>
          <w:p w:rsidR="001439AF" w:rsidRPr="004A0F8B" w:rsidRDefault="002A4AAF" w:rsidP="004A0F8B">
            <w:pPr>
              <w:pStyle w:val="Tabeltekst"/>
              <w:keepLines w:val="0"/>
              <w:widowControl w:val="0"/>
              <w:rPr>
                <w:color w:val="595959" w:themeColor="text1" w:themeTint="A6"/>
              </w:rPr>
            </w:pPr>
            <w:r w:rsidRPr="004A0F8B">
              <w:rPr>
                <w:color w:val="595959" w:themeColor="text1" w:themeTint="A6"/>
              </w:rPr>
              <w:t>Coca-Cola</w:t>
            </w:r>
          </w:p>
        </w:tc>
        <w:tc>
          <w:tcPr>
            <w:tcW w:w="3903" w:type="dxa"/>
          </w:tcPr>
          <w:p w:rsidR="001439AF" w:rsidRPr="004A0F8B" w:rsidRDefault="002A4AAF" w:rsidP="004A0F8B">
            <w:pPr>
              <w:pStyle w:val="Tabeltekst"/>
              <w:keepLines w:val="0"/>
              <w:widowControl w:val="0"/>
              <w:jc w:val="left"/>
              <w:cnfStyle w:val="000000000000"/>
              <w:rPr>
                <w:color w:val="595959" w:themeColor="text1" w:themeTint="A6"/>
              </w:rPr>
            </w:pPr>
            <w:r w:rsidRPr="004A0F8B">
              <w:rPr>
                <w:color w:val="595959" w:themeColor="text1" w:themeTint="A6"/>
              </w:rPr>
              <w:t>ING Investment Management Company</w:t>
            </w:r>
          </w:p>
        </w:tc>
        <w:tc>
          <w:tcPr>
            <w:tcW w:w="852"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0.04</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4.73</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1439AF" w:rsidRPr="004A0F8B" w:rsidRDefault="002A4AAF" w:rsidP="004A0F8B">
            <w:pPr>
              <w:pStyle w:val="Tabeltekst"/>
              <w:keepLines w:val="0"/>
              <w:widowControl w:val="0"/>
              <w:rPr>
                <w:color w:val="595959" w:themeColor="text1" w:themeTint="A6"/>
              </w:rPr>
            </w:pPr>
            <w:r w:rsidRPr="004A0F8B">
              <w:rPr>
                <w:color w:val="595959" w:themeColor="text1" w:themeTint="A6"/>
              </w:rPr>
              <w:t>Coca-Cola</w:t>
            </w:r>
          </w:p>
        </w:tc>
        <w:tc>
          <w:tcPr>
            <w:tcW w:w="3903" w:type="dxa"/>
          </w:tcPr>
          <w:p w:rsidR="001439AF" w:rsidRPr="004A0F8B" w:rsidRDefault="002A4AAF" w:rsidP="004A0F8B">
            <w:pPr>
              <w:pStyle w:val="Tabeltekst"/>
              <w:keepLines w:val="0"/>
              <w:widowControl w:val="0"/>
              <w:jc w:val="left"/>
              <w:cnfStyle w:val="000000000000"/>
              <w:rPr>
                <w:color w:val="595959" w:themeColor="text1" w:themeTint="A6"/>
              </w:rPr>
            </w:pPr>
            <w:r w:rsidRPr="004A0F8B">
              <w:rPr>
                <w:color w:val="595959" w:themeColor="text1" w:themeTint="A6"/>
              </w:rPr>
              <w:t>ING Investment Management NV</w:t>
            </w:r>
          </w:p>
        </w:tc>
        <w:tc>
          <w:tcPr>
            <w:tcW w:w="852"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0.02</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2.75</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1439AF" w:rsidRPr="004A0F8B" w:rsidRDefault="002A4AAF" w:rsidP="004A0F8B">
            <w:pPr>
              <w:pStyle w:val="Tabeltekst"/>
              <w:keepLines w:val="0"/>
              <w:widowControl w:val="0"/>
              <w:rPr>
                <w:color w:val="595959" w:themeColor="text1" w:themeTint="A6"/>
              </w:rPr>
            </w:pPr>
            <w:r w:rsidRPr="004A0F8B">
              <w:rPr>
                <w:color w:val="595959" w:themeColor="text1" w:themeTint="A6"/>
              </w:rPr>
              <w:t>Coca-Cola</w:t>
            </w:r>
          </w:p>
        </w:tc>
        <w:tc>
          <w:tcPr>
            <w:tcW w:w="3903" w:type="dxa"/>
          </w:tcPr>
          <w:p w:rsidR="001439AF" w:rsidRPr="004A0F8B" w:rsidRDefault="002A4AAF" w:rsidP="004A0F8B">
            <w:pPr>
              <w:pStyle w:val="Tabeltekst"/>
              <w:keepLines w:val="0"/>
              <w:widowControl w:val="0"/>
              <w:jc w:val="left"/>
              <w:cnfStyle w:val="000000000000"/>
              <w:rPr>
                <w:color w:val="595959" w:themeColor="text1" w:themeTint="A6"/>
              </w:rPr>
            </w:pPr>
            <w:r w:rsidRPr="004A0F8B">
              <w:rPr>
                <w:color w:val="595959" w:themeColor="text1" w:themeTint="A6"/>
              </w:rPr>
              <w:t>ING Investments LLC</w:t>
            </w:r>
          </w:p>
        </w:tc>
        <w:tc>
          <w:tcPr>
            <w:tcW w:w="852"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0.02</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2.26</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1439AF" w:rsidRPr="004A0F8B" w:rsidRDefault="002A4AAF" w:rsidP="004A0F8B">
            <w:pPr>
              <w:pStyle w:val="Tabeltekst"/>
              <w:keepLines w:val="0"/>
              <w:widowControl w:val="0"/>
              <w:rPr>
                <w:color w:val="595959" w:themeColor="text1" w:themeTint="A6"/>
              </w:rPr>
            </w:pPr>
            <w:r w:rsidRPr="004A0F8B">
              <w:rPr>
                <w:color w:val="595959" w:themeColor="text1" w:themeTint="A6"/>
              </w:rPr>
              <w:t>Coca-Cola</w:t>
            </w:r>
          </w:p>
        </w:tc>
        <w:tc>
          <w:tcPr>
            <w:tcW w:w="3903" w:type="dxa"/>
          </w:tcPr>
          <w:p w:rsidR="001439AF" w:rsidRPr="004A0F8B" w:rsidRDefault="002A4AAF" w:rsidP="004A0F8B">
            <w:pPr>
              <w:pStyle w:val="Tabeltekst"/>
              <w:keepLines w:val="0"/>
              <w:widowControl w:val="0"/>
              <w:jc w:val="left"/>
              <w:cnfStyle w:val="000000000000"/>
              <w:rPr>
                <w:color w:val="595959" w:themeColor="text1" w:themeTint="A6"/>
              </w:rPr>
            </w:pPr>
            <w:r w:rsidRPr="004A0F8B">
              <w:rPr>
                <w:color w:val="595959" w:themeColor="text1" w:themeTint="A6"/>
              </w:rPr>
              <w:t>ING Life Insurance &amp; Annuity Company</w:t>
            </w:r>
          </w:p>
        </w:tc>
        <w:tc>
          <w:tcPr>
            <w:tcW w:w="852"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0.10</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11.96</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1439AF" w:rsidRPr="004A0F8B" w:rsidRDefault="002A4AAF" w:rsidP="004A0F8B">
            <w:pPr>
              <w:pStyle w:val="Tabeltekst"/>
              <w:keepLines w:val="0"/>
              <w:widowControl w:val="0"/>
              <w:rPr>
                <w:color w:val="595959" w:themeColor="text1" w:themeTint="A6"/>
              </w:rPr>
            </w:pPr>
            <w:r w:rsidRPr="004A0F8B">
              <w:rPr>
                <w:color w:val="595959" w:themeColor="text1" w:themeTint="A6"/>
              </w:rPr>
              <w:t>Coca-Cola</w:t>
            </w:r>
          </w:p>
        </w:tc>
        <w:tc>
          <w:tcPr>
            <w:tcW w:w="3903" w:type="dxa"/>
          </w:tcPr>
          <w:p w:rsidR="001439AF" w:rsidRPr="004A0F8B" w:rsidRDefault="002A4AAF" w:rsidP="004A0F8B">
            <w:pPr>
              <w:pStyle w:val="Tabeltekst"/>
              <w:keepLines w:val="0"/>
              <w:widowControl w:val="0"/>
              <w:jc w:val="left"/>
              <w:cnfStyle w:val="000000000000"/>
              <w:rPr>
                <w:color w:val="595959" w:themeColor="text1" w:themeTint="A6"/>
              </w:rPr>
            </w:pPr>
            <w:r w:rsidRPr="004A0F8B">
              <w:rPr>
                <w:color w:val="595959" w:themeColor="text1" w:themeTint="A6"/>
              </w:rPr>
              <w:t>ING USA Annuity and Life Insurance Company</w:t>
            </w:r>
          </w:p>
        </w:tc>
        <w:tc>
          <w:tcPr>
            <w:tcW w:w="852"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0.08</w:t>
            </w:r>
          </w:p>
        </w:tc>
        <w:tc>
          <w:tcPr>
            <w:tcW w:w="1274" w:type="dxa"/>
          </w:tcPr>
          <w:p w:rsidR="001439AF" w:rsidRPr="004A0F8B" w:rsidRDefault="002A4AAF" w:rsidP="004A0F8B">
            <w:pPr>
              <w:keepLines w:val="0"/>
              <w:widowControl w:val="0"/>
              <w:cnfStyle w:val="000000000000"/>
              <w:rPr>
                <w:color w:val="595959" w:themeColor="text1" w:themeTint="A6"/>
                <w:sz w:val="20"/>
                <w:szCs w:val="20"/>
              </w:rPr>
            </w:pPr>
            <w:r w:rsidRPr="004A0F8B">
              <w:rPr>
                <w:color w:val="595959" w:themeColor="text1" w:themeTint="A6"/>
                <w:sz w:val="20"/>
                <w:szCs w:val="20"/>
              </w:rPr>
              <w:t>9.41</w:t>
            </w:r>
          </w:p>
        </w:tc>
        <w:tc>
          <w:tcPr>
            <w:tcW w:w="1274" w:type="dxa"/>
          </w:tcPr>
          <w:p w:rsidR="001439AF" w:rsidRPr="004A0F8B" w:rsidRDefault="005757B3"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1439AF" w:rsidRPr="004A0F8B" w:rsidRDefault="00BA7291" w:rsidP="004A0F8B">
            <w:pPr>
              <w:pStyle w:val="Tabeltekst"/>
              <w:keepLines w:val="0"/>
              <w:widowControl w:val="0"/>
              <w:rPr>
                <w:color w:val="595959" w:themeColor="text1" w:themeTint="A6"/>
              </w:rPr>
            </w:pPr>
            <w:r w:rsidRPr="004A0F8B">
              <w:rPr>
                <w:color w:val="595959" w:themeColor="text1" w:themeTint="A6"/>
              </w:rPr>
              <w:t>Coca-Cola</w:t>
            </w:r>
          </w:p>
        </w:tc>
        <w:tc>
          <w:tcPr>
            <w:tcW w:w="3903" w:type="dxa"/>
          </w:tcPr>
          <w:p w:rsidR="001439AF" w:rsidRPr="004A0F8B" w:rsidRDefault="00BA7291"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 of New York</w:t>
            </w:r>
          </w:p>
        </w:tc>
        <w:tc>
          <w:tcPr>
            <w:tcW w:w="852" w:type="dxa"/>
          </w:tcPr>
          <w:p w:rsidR="001439AF" w:rsidRPr="004A0F8B" w:rsidRDefault="00BA7291" w:rsidP="004A0F8B">
            <w:pPr>
              <w:keepLines w:val="0"/>
              <w:widowControl w:val="0"/>
              <w:cnfStyle w:val="000000000000"/>
              <w:rPr>
                <w:color w:val="595959" w:themeColor="text1" w:themeTint="A6"/>
                <w:sz w:val="20"/>
                <w:szCs w:val="20"/>
              </w:rPr>
            </w:pPr>
            <w:r w:rsidRPr="004A0F8B">
              <w:rPr>
                <w:color w:val="595959" w:themeColor="text1" w:themeTint="A6"/>
                <w:sz w:val="20"/>
                <w:szCs w:val="20"/>
              </w:rPr>
              <w:t>0.06</w:t>
            </w:r>
          </w:p>
        </w:tc>
        <w:tc>
          <w:tcPr>
            <w:tcW w:w="1274" w:type="dxa"/>
          </w:tcPr>
          <w:p w:rsidR="001439AF" w:rsidRPr="004A0F8B" w:rsidRDefault="00BA7291" w:rsidP="004A0F8B">
            <w:pPr>
              <w:keepLines w:val="0"/>
              <w:widowControl w:val="0"/>
              <w:cnfStyle w:val="000000000000"/>
              <w:rPr>
                <w:color w:val="595959" w:themeColor="text1" w:themeTint="A6"/>
                <w:sz w:val="20"/>
                <w:szCs w:val="20"/>
              </w:rPr>
            </w:pPr>
            <w:r w:rsidRPr="004A0F8B">
              <w:rPr>
                <w:color w:val="595959" w:themeColor="text1" w:themeTint="A6"/>
                <w:sz w:val="20"/>
                <w:szCs w:val="20"/>
              </w:rPr>
              <w:t>7.66</w:t>
            </w:r>
          </w:p>
        </w:tc>
        <w:tc>
          <w:tcPr>
            <w:tcW w:w="1274" w:type="dxa"/>
          </w:tcPr>
          <w:p w:rsidR="001439AF" w:rsidRPr="004A0F8B" w:rsidRDefault="00BA7291"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2A4AAF" w:rsidRPr="004A0F8B" w:rsidRDefault="00BA7291" w:rsidP="004A0F8B">
            <w:pPr>
              <w:pStyle w:val="Tabeltekst"/>
              <w:keepLines w:val="0"/>
              <w:widowControl w:val="0"/>
              <w:rPr>
                <w:color w:val="595959" w:themeColor="text1" w:themeTint="A6"/>
              </w:rPr>
            </w:pPr>
            <w:r w:rsidRPr="004A0F8B">
              <w:rPr>
                <w:color w:val="595959" w:themeColor="text1" w:themeTint="A6"/>
              </w:rPr>
              <w:t>Coca-Cola</w:t>
            </w:r>
          </w:p>
        </w:tc>
        <w:tc>
          <w:tcPr>
            <w:tcW w:w="3903" w:type="dxa"/>
          </w:tcPr>
          <w:p w:rsidR="002A4AAF" w:rsidRPr="004A0F8B" w:rsidRDefault="00BA7291"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w:t>
            </w:r>
          </w:p>
        </w:tc>
        <w:tc>
          <w:tcPr>
            <w:tcW w:w="852" w:type="dxa"/>
          </w:tcPr>
          <w:p w:rsidR="002A4AAF" w:rsidRPr="004A0F8B" w:rsidRDefault="00BA7291" w:rsidP="004A0F8B">
            <w:pPr>
              <w:keepLines w:val="0"/>
              <w:widowControl w:val="0"/>
              <w:cnfStyle w:val="000000000000"/>
              <w:rPr>
                <w:color w:val="595959" w:themeColor="text1" w:themeTint="A6"/>
                <w:sz w:val="20"/>
                <w:szCs w:val="20"/>
              </w:rPr>
            </w:pPr>
            <w:r w:rsidRPr="004A0F8B">
              <w:rPr>
                <w:color w:val="595959" w:themeColor="text1" w:themeTint="A6"/>
                <w:sz w:val="20"/>
                <w:szCs w:val="20"/>
              </w:rPr>
              <w:t>0.19</w:t>
            </w:r>
          </w:p>
        </w:tc>
        <w:tc>
          <w:tcPr>
            <w:tcW w:w="1274" w:type="dxa"/>
          </w:tcPr>
          <w:p w:rsidR="002A4AAF" w:rsidRPr="004A0F8B" w:rsidRDefault="00BA7291" w:rsidP="004A0F8B">
            <w:pPr>
              <w:keepLines w:val="0"/>
              <w:widowControl w:val="0"/>
              <w:cnfStyle w:val="000000000000"/>
              <w:rPr>
                <w:color w:val="595959" w:themeColor="text1" w:themeTint="A6"/>
                <w:sz w:val="20"/>
                <w:szCs w:val="20"/>
              </w:rPr>
            </w:pPr>
            <w:r w:rsidRPr="004A0F8B">
              <w:rPr>
                <w:color w:val="595959" w:themeColor="text1" w:themeTint="A6"/>
                <w:sz w:val="20"/>
                <w:szCs w:val="20"/>
              </w:rPr>
              <w:t>23.68</w:t>
            </w:r>
          </w:p>
        </w:tc>
        <w:tc>
          <w:tcPr>
            <w:tcW w:w="1274" w:type="dxa"/>
          </w:tcPr>
          <w:p w:rsidR="002A4AAF" w:rsidRPr="004A0F8B" w:rsidRDefault="00BA7291"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2A4AAF" w:rsidRPr="004A0F8B" w:rsidRDefault="006971D2" w:rsidP="004A0F8B">
            <w:pPr>
              <w:pStyle w:val="Tabeltekst"/>
              <w:keepLines w:val="0"/>
              <w:widowControl w:val="0"/>
              <w:rPr>
                <w:color w:val="595959" w:themeColor="text1" w:themeTint="A6"/>
              </w:rPr>
            </w:pPr>
            <w:r w:rsidRPr="004A0F8B">
              <w:rPr>
                <w:color w:val="595959" w:themeColor="text1" w:themeTint="A6"/>
              </w:rPr>
              <w:t>Danone</w:t>
            </w:r>
          </w:p>
        </w:tc>
        <w:tc>
          <w:tcPr>
            <w:tcW w:w="3903" w:type="dxa"/>
          </w:tcPr>
          <w:p w:rsidR="002A4AAF" w:rsidRPr="004A0F8B" w:rsidRDefault="006971D2" w:rsidP="004A0F8B">
            <w:pPr>
              <w:pStyle w:val="Tabeltekst"/>
              <w:keepLines w:val="0"/>
              <w:widowControl w:val="0"/>
              <w:jc w:val="left"/>
              <w:cnfStyle w:val="000000000000"/>
              <w:rPr>
                <w:color w:val="595959" w:themeColor="text1" w:themeTint="A6"/>
              </w:rPr>
            </w:pPr>
            <w:r w:rsidRPr="004A0F8B">
              <w:rPr>
                <w:color w:val="595959" w:themeColor="text1" w:themeTint="A6"/>
              </w:rPr>
              <w:t>ING Asset Management</w:t>
            </w:r>
          </w:p>
        </w:tc>
        <w:tc>
          <w:tcPr>
            <w:tcW w:w="852" w:type="dxa"/>
          </w:tcPr>
          <w:p w:rsidR="002A4AAF" w:rsidRPr="004A0F8B" w:rsidRDefault="006971D2" w:rsidP="004A0F8B">
            <w:pPr>
              <w:keepLines w:val="0"/>
              <w:widowControl w:val="0"/>
              <w:cnfStyle w:val="000000000000"/>
              <w:rPr>
                <w:color w:val="595959" w:themeColor="text1" w:themeTint="A6"/>
                <w:sz w:val="20"/>
                <w:szCs w:val="20"/>
              </w:rPr>
            </w:pPr>
            <w:r w:rsidRPr="004A0F8B">
              <w:rPr>
                <w:color w:val="595959" w:themeColor="text1" w:themeTint="A6"/>
                <w:sz w:val="20"/>
                <w:szCs w:val="20"/>
              </w:rPr>
              <w:t>0.02</w:t>
            </w:r>
          </w:p>
        </w:tc>
        <w:tc>
          <w:tcPr>
            <w:tcW w:w="1274" w:type="dxa"/>
          </w:tcPr>
          <w:p w:rsidR="002A4AAF" w:rsidRPr="004A0F8B" w:rsidRDefault="006971D2" w:rsidP="004A0F8B">
            <w:pPr>
              <w:keepLines w:val="0"/>
              <w:widowControl w:val="0"/>
              <w:cnfStyle w:val="000000000000"/>
              <w:rPr>
                <w:color w:val="595959" w:themeColor="text1" w:themeTint="A6"/>
                <w:sz w:val="20"/>
                <w:szCs w:val="20"/>
              </w:rPr>
            </w:pPr>
            <w:r w:rsidRPr="004A0F8B">
              <w:rPr>
                <w:color w:val="595959" w:themeColor="text1" w:themeTint="A6"/>
                <w:sz w:val="20"/>
                <w:szCs w:val="20"/>
              </w:rPr>
              <w:t>1.01</w:t>
            </w:r>
          </w:p>
        </w:tc>
        <w:tc>
          <w:tcPr>
            <w:tcW w:w="1274" w:type="dxa"/>
          </w:tcPr>
          <w:p w:rsidR="002A4AAF" w:rsidRPr="004A0F8B" w:rsidRDefault="006971D2"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1F6BEB" w:rsidRPr="004A0F8B" w:rsidRDefault="001F6BEB" w:rsidP="004A0F8B">
            <w:pPr>
              <w:rPr>
                <w:color w:val="595959" w:themeColor="text1" w:themeTint="A6"/>
                <w:sz w:val="20"/>
                <w:szCs w:val="20"/>
              </w:rPr>
            </w:pPr>
            <w:r w:rsidRPr="004A0F8B">
              <w:rPr>
                <w:color w:val="595959" w:themeColor="text1" w:themeTint="A6"/>
                <w:sz w:val="20"/>
                <w:szCs w:val="20"/>
              </w:rPr>
              <w:lastRenderedPageBreak/>
              <w:t>General Mills</w:t>
            </w:r>
          </w:p>
        </w:tc>
        <w:tc>
          <w:tcPr>
            <w:tcW w:w="3903" w:type="dxa"/>
          </w:tcPr>
          <w:p w:rsidR="001F6BEB" w:rsidRPr="004A0F8B" w:rsidRDefault="001F6BEB" w:rsidP="004A0F8B">
            <w:pPr>
              <w:pStyle w:val="Tabeltekst"/>
              <w:keepLines w:val="0"/>
              <w:widowControl w:val="0"/>
              <w:jc w:val="left"/>
              <w:cnfStyle w:val="000000000000"/>
              <w:rPr>
                <w:color w:val="595959" w:themeColor="text1" w:themeTint="A6"/>
              </w:rPr>
            </w:pPr>
            <w:r w:rsidRPr="004A0F8B">
              <w:rPr>
                <w:color w:val="595959" w:themeColor="text1" w:themeTint="A6"/>
              </w:rPr>
              <w:t>ING Investment Management Company</w:t>
            </w:r>
          </w:p>
        </w:tc>
        <w:tc>
          <w:tcPr>
            <w:tcW w:w="852" w:type="dxa"/>
          </w:tcPr>
          <w:p w:rsidR="001F6BEB" w:rsidRPr="004A0F8B" w:rsidRDefault="00112D32" w:rsidP="004A0F8B">
            <w:pPr>
              <w:keepLines w:val="0"/>
              <w:widowControl w:val="0"/>
              <w:cnfStyle w:val="000000000000"/>
              <w:rPr>
                <w:color w:val="595959" w:themeColor="text1" w:themeTint="A6"/>
                <w:sz w:val="20"/>
                <w:szCs w:val="20"/>
              </w:rPr>
            </w:pPr>
            <w:r w:rsidRPr="004A0F8B">
              <w:rPr>
                <w:color w:val="595959" w:themeColor="text1" w:themeTint="A6"/>
                <w:sz w:val="20"/>
                <w:szCs w:val="20"/>
              </w:rPr>
              <w:t>0.10</w:t>
            </w:r>
          </w:p>
        </w:tc>
        <w:tc>
          <w:tcPr>
            <w:tcW w:w="1274" w:type="dxa"/>
          </w:tcPr>
          <w:p w:rsidR="001F6BEB" w:rsidRPr="004A0F8B" w:rsidRDefault="00112D32" w:rsidP="004A0F8B">
            <w:pPr>
              <w:keepLines w:val="0"/>
              <w:widowControl w:val="0"/>
              <w:cnfStyle w:val="000000000000"/>
              <w:rPr>
                <w:color w:val="595959" w:themeColor="text1" w:themeTint="A6"/>
                <w:sz w:val="20"/>
                <w:szCs w:val="20"/>
              </w:rPr>
            </w:pPr>
            <w:r w:rsidRPr="004A0F8B">
              <w:rPr>
                <w:color w:val="595959" w:themeColor="text1" w:themeTint="A6"/>
                <w:sz w:val="20"/>
                <w:szCs w:val="20"/>
              </w:rPr>
              <w:t>4.56</w:t>
            </w:r>
          </w:p>
        </w:tc>
        <w:tc>
          <w:tcPr>
            <w:tcW w:w="1274" w:type="dxa"/>
          </w:tcPr>
          <w:p w:rsidR="001F6BEB" w:rsidRPr="004A0F8B" w:rsidRDefault="00112D32" w:rsidP="004A0F8B">
            <w:pPr>
              <w:keepLines w:val="0"/>
              <w:widowControl w:val="0"/>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112D32" w:rsidRPr="004A0F8B" w:rsidRDefault="00112D32" w:rsidP="004A0F8B">
            <w:pPr>
              <w:rPr>
                <w:color w:val="595959" w:themeColor="text1" w:themeTint="A6"/>
                <w:sz w:val="20"/>
                <w:szCs w:val="20"/>
              </w:rPr>
            </w:pPr>
            <w:r w:rsidRPr="004A0F8B">
              <w:rPr>
                <w:color w:val="595959" w:themeColor="text1" w:themeTint="A6"/>
                <w:sz w:val="20"/>
                <w:szCs w:val="20"/>
              </w:rPr>
              <w:t>General Mills</w:t>
            </w:r>
          </w:p>
        </w:tc>
        <w:tc>
          <w:tcPr>
            <w:tcW w:w="3903" w:type="dxa"/>
          </w:tcPr>
          <w:p w:rsidR="00112D32" w:rsidRPr="004A0F8B" w:rsidRDefault="00112D32" w:rsidP="004A0F8B">
            <w:pPr>
              <w:pStyle w:val="Tabeltekst"/>
              <w:keepLines w:val="0"/>
              <w:widowControl w:val="0"/>
              <w:jc w:val="left"/>
              <w:cnfStyle w:val="000000000000"/>
              <w:rPr>
                <w:color w:val="595959" w:themeColor="text1" w:themeTint="A6"/>
              </w:rPr>
            </w:pPr>
            <w:r w:rsidRPr="004A0F8B">
              <w:rPr>
                <w:color w:val="595959" w:themeColor="text1" w:themeTint="A6"/>
              </w:rPr>
              <w:t>ING Life Insurance &amp; Annuity Company</w:t>
            </w:r>
          </w:p>
        </w:tc>
        <w:tc>
          <w:tcPr>
            <w:tcW w:w="852" w:type="dxa"/>
          </w:tcPr>
          <w:p w:rsidR="00112D32" w:rsidRPr="004A0F8B" w:rsidRDefault="00112D32" w:rsidP="004A0F8B">
            <w:pPr>
              <w:keepLines w:val="0"/>
              <w:widowControl w:val="0"/>
              <w:cnfStyle w:val="000000000000"/>
              <w:rPr>
                <w:color w:val="595959" w:themeColor="text1" w:themeTint="A6"/>
                <w:sz w:val="20"/>
                <w:szCs w:val="20"/>
              </w:rPr>
            </w:pPr>
            <w:r w:rsidRPr="004A0F8B">
              <w:rPr>
                <w:color w:val="595959" w:themeColor="text1" w:themeTint="A6"/>
                <w:sz w:val="20"/>
                <w:szCs w:val="20"/>
              </w:rPr>
              <w:t>0.28</w:t>
            </w:r>
          </w:p>
        </w:tc>
        <w:tc>
          <w:tcPr>
            <w:tcW w:w="1274" w:type="dxa"/>
          </w:tcPr>
          <w:p w:rsidR="00112D32" w:rsidRPr="004A0F8B" w:rsidRDefault="00112D32" w:rsidP="004A0F8B">
            <w:pPr>
              <w:keepLines w:val="0"/>
              <w:widowControl w:val="0"/>
              <w:cnfStyle w:val="000000000000"/>
              <w:rPr>
                <w:color w:val="595959" w:themeColor="text1" w:themeTint="A6"/>
                <w:sz w:val="20"/>
                <w:szCs w:val="20"/>
              </w:rPr>
            </w:pPr>
            <w:r w:rsidRPr="004A0F8B">
              <w:rPr>
                <w:color w:val="595959" w:themeColor="text1" w:themeTint="A6"/>
                <w:sz w:val="20"/>
                <w:szCs w:val="20"/>
              </w:rPr>
              <w:t>13.20</w:t>
            </w:r>
          </w:p>
        </w:tc>
        <w:tc>
          <w:tcPr>
            <w:tcW w:w="1274" w:type="dxa"/>
          </w:tcPr>
          <w:p w:rsidR="00112D32" w:rsidRPr="004A0F8B" w:rsidRDefault="00112D32"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112D32" w:rsidRPr="004A0F8B" w:rsidRDefault="00112D32" w:rsidP="004A0F8B">
            <w:pPr>
              <w:rPr>
                <w:color w:val="595959" w:themeColor="text1" w:themeTint="A6"/>
                <w:sz w:val="20"/>
                <w:szCs w:val="20"/>
              </w:rPr>
            </w:pPr>
            <w:r w:rsidRPr="004A0F8B">
              <w:rPr>
                <w:color w:val="595959" w:themeColor="text1" w:themeTint="A6"/>
                <w:sz w:val="20"/>
                <w:szCs w:val="20"/>
              </w:rPr>
              <w:t>General Mills</w:t>
            </w:r>
          </w:p>
        </w:tc>
        <w:tc>
          <w:tcPr>
            <w:tcW w:w="3903" w:type="dxa"/>
          </w:tcPr>
          <w:p w:rsidR="00112D32" w:rsidRPr="004A0F8B" w:rsidRDefault="00112D32" w:rsidP="004A0F8B">
            <w:pPr>
              <w:pStyle w:val="Tabeltekst"/>
              <w:keepLines w:val="0"/>
              <w:widowControl w:val="0"/>
              <w:jc w:val="left"/>
              <w:cnfStyle w:val="000000000000"/>
              <w:rPr>
                <w:color w:val="595959" w:themeColor="text1" w:themeTint="A6"/>
              </w:rPr>
            </w:pPr>
            <w:r w:rsidRPr="004A0F8B">
              <w:rPr>
                <w:color w:val="595959" w:themeColor="text1" w:themeTint="A6"/>
              </w:rPr>
              <w:t>ING USA Annuity and Life Insurance Company</w:t>
            </w:r>
          </w:p>
        </w:tc>
        <w:tc>
          <w:tcPr>
            <w:tcW w:w="852" w:type="dxa"/>
          </w:tcPr>
          <w:p w:rsidR="00112D32" w:rsidRPr="004A0F8B" w:rsidRDefault="00112D32" w:rsidP="004A0F8B">
            <w:pPr>
              <w:keepLines w:val="0"/>
              <w:widowControl w:val="0"/>
              <w:cnfStyle w:val="000000000000"/>
              <w:rPr>
                <w:color w:val="595959" w:themeColor="text1" w:themeTint="A6"/>
                <w:sz w:val="20"/>
                <w:szCs w:val="20"/>
              </w:rPr>
            </w:pPr>
            <w:r w:rsidRPr="004A0F8B">
              <w:rPr>
                <w:color w:val="595959" w:themeColor="text1" w:themeTint="A6"/>
                <w:sz w:val="20"/>
                <w:szCs w:val="20"/>
              </w:rPr>
              <w:t>0.17</w:t>
            </w:r>
          </w:p>
        </w:tc>
        <w:tc>
          <w:tcPr>
            <w:tcW w:w="1274" w:type="dxa"/>
          </w:tcPr>
          <w:p w:rsidR="00112D32" w:rsidRPr="004A0F8B" w:rsidRDefault="00112D32" w:rsidP="004A0F8B">
            <w:pPr>
              <w:keepLines w:val="0"/>
              <w:widowControl w:val="0"/>
              <w:cnfStyle w:val="000000000000"/>
              <w:rPr>
                <w:color w:val="595959" w:themeColor="text1" w:themeTint="A6"/>
                <w:sz w:val="20"/>
                <w:szCs w:val="20"/>
              </w:rPr>
            </w:pPr>
            <w:r w:rsidRPr="004A0F8B">
              <w:rPr>
                <w:color w:val="595959" w:themeColor="text1" w:themeTint="A6"/>
                <w:sz w:val="20"/>
                <w:szCs w:val="20"/>
              </w:rPr>
              <w:t>7.92</w:t>
            </w:r>
          </w:p>
        </w:tc>
        <w:tc>
          <w:tcPr>
            <w:tcW w:w="1274" w:type="dxa"/>
          </w:tcPr>
          <w:p w:rsidR="00112D32" w:rsidRPr="004A0F8B" w:rsidRDefault="00112D32"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01468E" w:rsidRPr="004A0F8B" w:rsidRDefault="0001468E" w:rsidP="004A0F8B">
            <w:pPr>
              <w:rPr>
                <w:color w:val="595959" w:themeColor="text1" w:themeTint="A6"/>
                <w:sz w:val="20"/>
                <w:szCs w:val="20"/>
              </w:rPr>
            </w:pPr>
            <w:r w:rsidRPr="004A0F8B">
              <w:rPr>
                <w:color w:val="595959" w:themeColor="text1" w:themeTint="A6"/>
                <w:sz w:val="20"/>
                <w:szCs w:val="20"/>
              </w:rPr>
              <w:t>General Mills</w:t>
            </w:r>
          </w:p>
        </w:tc>
        <w:tc>
          <w:tcPr>
            <w:tcW w:w="3903" w:type="dxa"/>
          </w:tcPr>
          <w:p w:rsidR="0001468E" w:rsidRPr="004A0F8B" w:rsidRDefault="0001468E"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 of New York</w:t>
            </w:r>
          </w:p>
        </w:tc>
        <w:tc>
          <w:tcPr>
            <w:tcW w:w="852" w:type="dxa"/>
          </w:tcPr>
          <w:p w:rsidR="0001468E" w:rsidRPr="004A0F8B" w:rsidRDefault="0001468E" w:rsidP="004A0F8B">
            <w:pPr>
              <w:keepLines w:val="0"/>
              <w:widowControl w:val="0"/>
              <w:cnfStyle w:val="000000000000"/>
              <w:rPr>
                <w:color w:val="595959" w:themeColor="text1" w:themeTint="A6"/>
                <w:sz w:val="20"/>
                <w:szCs w:val="20"/>
              </w:rPr>
            </w:pPr>
            <w:r w:rsidRPr="004A0F8B">
              <w:rPr>
                <w:color w:val="595959" w:themeColor="text1" w:themeTint="A6"/>
                <w:sz w:val="20"/>
                <w:szCs w:val="20"/>
              </w:rPr>
              <w:t>0.02</w:t>
            </w:r>
          </w:p>
        </w:tc>
        <w:tc>
          <w:tcPr>
            <w:tcW w:w="1274" w:type="dxa"/>
          </w:tcPr>
          <w:p w:rsidR="0001468E" w:rsidRPr="004A0F8B" w:rsidRDefault="0001468E" w:rsidP="004A0F8B">
            <w:pPr>
              <w:keepLines w:val="0"/>
              <w:widowControl w:val="0"/>
              <w:cnfStyle w:val="000000000000"/>
              <w:rPr>
                <w:color w:val="595959" w:themeColor="text1" w:themeTint="A6"/>
                <w:sz w:val="20"/>
                <w:szCs w:val="20"/>
              </w:rPr>
            </w:pPr>
            <w:r w:rsidRPr="004A0F8B">
              <w:rPr>
                <w:color w:val="595959" w:themeColor="text1" w:themeTint="A6"/>
                <w:sz w:val="20"/>
                <w:szCs w:val="20"/>
              </w:rPr>
              <w:t>1.13</w:t>
            </w:r>
          </w:p>
        </w:tc>
        <w:tc>
          <w:tcPr>
            <w:tcW w:w="1274" w:type="dxa"/>
          </w:tcPr>
          <w:p w:rsidR="0001468E" w:rsidRPr="004A0F8B" w:rsidRDefault="0001468E"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01468E" w:rsidRPr="004A0F8B" w:rsidRDefault="0001468E" w:rsidP="004A0F8B">
            <w:pPr>
              <w:rPr>
                <w:color w:val="595959" w:themeColor="text1" w:themeTint="A6"/>
                <w:sz w:val="20"/>
                <w:szCs w:val="20"/>
              </w:rPr>
            </w:pPr>
            <w:r w:rsidRPr="004A0F8B">
              <w:rPr>
                <w:color w:val="595959" w:themeColor="text1" w:themeTint="A6"/>
                <w:sz w:val="20"/>
                <w:szCs w:val="20"/>
              </w:rPr>
              <w:t>General Mills</w:t>
            </w:r>
          </w:p>
        </w:tc>
        <w:tc>
          <w:tcPr>
            <w:tcW w:w="3903" w:type="dxa"/>
          </w:tcPr>
          <w:p w:rsidR="0001468E" w:rsidRPr="004A0F8B" w:rsidRDefault="0001468E"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w:t>
            </w:r>
          </w:p>
        </w:tc>
        <w:tc>
          <w:tcPr>
            <w:tcW w:w="852" w:type="dxa"/>
          </w:tcPr>
          <w:p w:rsidR="0001468E" w:rsidRPr="004A0F8B" w:rsidRDefault="0001468E" w:rsidP="004A0F8B">
            <w:pPr>
              <w:keepLines w:val="0"/>
              <w:widowControl w:val="0"/>
              <w:cnfStyle w:val="000000000000"/>
              <w:rPr>
                <w:color w:val="595959" w:themeColor="text1" w:themeTint="A6"/>
                <w:sz w:val="20"/>
                <w:szCs w:val="20"/>
              </w:rPr>
            </w:pPr>
            <w:r w:rsidRPr="004A0F8B">
              <w:rPr>
                <w:color w:val="595959" w:themeColor="text1" w:themeTint="A6"/>
                <w:sz w:val="20"/>
                <w:szCs w:val="20"/>
              </w:rPr>
              <w:t>0.10</w:t>
            </w:r>
          </w:p>
        </w:tc>
        <w:tc>
          <w:tcPr>
            <w:tcW w:w="1274" w:type="dxa"/>
          </w:tcPr>
          <w:p w:rsidR="0001468E" w:rsidRPr="004A0F8B" w:rsidRDefault="0001468E" w:rsidP="004A0F8B">
            <w:pPr>
              <w:keepLines w:val="0"/>
              <w:widowControl w:val="0"/>
              <w:cnfStyle w:val="000000000000"/>
              <w:rPr>
                <w:color w:val="595959" w:themeColor="text1" w:themeTint="A6"/>
                <w:sz w:val="20"/>
                <w:szCs w:val="20"/>
              </w:rPr>
            </w:pPr>
            <w:r w:rsidRPr="004A0F8B">
              <w:rPr>
                <w:color w:val="595959" w:themeColor="text1" w:themeTint="A6"/>
                <w:sz w:val="20"/>
                <w:szCs w:val="20"/>
              </w:rPr>
              <w:t>4.71</w:t>
            </w:r>
          </w:p>
        </w:tc>
        <w:tc>
          <w:tcPr>
            <w:tcW w:w="1274" w:type="dxa"/>
          </w:tcPr>
          <w:p w:rsidR="0001468E" w:rsidRPr="004A0F8B" w:rsidRDefault="0001468E"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01468E" w:rsidRPr="004A0F8B" w:rsidRDefault="0001468E" w:rsidP="004A0F8B">
            <w:pPr>
              <w:pStyle w:val="Tabeltekst"/>
              <w:keepLines w:val="0"/>
              <w:widowControl w:val="0"/>
              <w:rPr>
                <w:color w:val="595959" w:themeColor="text1" w:themeTint="A6"/>
              </w:rPr>
            </w:pPr>
            <w:r w:rsidRPr="004A0F8B">
              <w:rPr>
                <w:color w:val="595959" w:themeColor="text1" w:themeTint="A6"/>
              </w:rPr>
              <w:t>Kellogg</w:t>
            </w:r>
          </w:p>
        </w:tc>
        <w:tc>
          <w:tcPr>
            <w:tcW w:w="3903" w:type="dxa"/>
          </w:tcPr>
          <w:p w:rsidR="0001468E" w:rsidRPr="004A0F8B" w:rsidRDefault="0001468E" w:rsidP="004A0F8B">
            <w:pPr>
              <w:pStyle w:val="Tabeltekst"/>
              <w:keepLines w:val="0"/>
              <w:widowControl w:val="0"/>
              <w:jc w:val="left"/>
              <w:cnfStyle w:val="000000000000"/>
              <w:rPr>
                <w:color w:val="595959" w:themeColor="text1" w:themeTint="A6"/>
              </w:rPr>
            </w:pPr>
            <w:r w:rsidRPr="004A0F8B">
              <w:rPr>
                <w:color w:val="595959" w:themeColor="text1" w:themeTint="A6"/>
              </w:rPr>
              <w:t>ING Investment LLC</w:t>
            </w:r>
          </w:p>
        </w:tc>
        <w:tc>
          <w:tcPr>
            <w:tcW w:w="852" w:type="dxa"/>
          </w:tcPr>
          <w:p w:rsidR="0001468E" w:rsidRPr="004A0F8B" w:rsidRDefault="0001468E" w:rsidP="004A0F8B">
            <w:pPr>
              <w:keepLines w:val="0"/>
              <w:widowControl w:val="0"/>
              <w:cnfStyle w:val="000000000000"/>
              <w:rPr>
                <w:color w:val="595959" w:themeColor="text1" w:themeTint="A6"/>
                <w:sz w:val="20"/>
                <w:szCs w:val="20"/>
              </w:rPr>
            </w:pPr>
            <w:r w:rsidRPr="004A0F8B">
              <w:rPr>
                <w:color w:val="595959" w:themeColor="text1" w:themeTint="A6"/>
                <w:sz w:val="20"/>
                <w:szCs w:val="20"/>
              </w:rPr>
              <w:t>0.03</w:t>
            </w:r>
          </w:p>
        </w:tc>
        <w:tc>
          <w:tcPr>
            <w:tcW w:w="1274" w:type="dxa"/>
          </w:tcPr>
          <w:p w:rsidR="0001468E" w:rsidRPr="004A0F8B" w:rsidRDefault="0001468E" w:rsidP="004A0F8B">
            <w:pPr>
              <w:keepLines w:val="0"/>
              <w:widowControl w:val="0"/>
              <w:cnfStyle w:val="000000000000"/>
              <w:rPr>
                <w:color w:val="595959" w:themeColor="text1" w:themeTint="A6"/>
                <w:sz w:val="20"/>
                <w:szCs w:val="20"/>
              </w:rPr>
            </w:pPr>
            <w:r w:rsidRPr="004A0F8B">
              <w:rPr>
                <w:color w:val="595959" w:themeColor="text1" w:themeTint="A6"/>
                <w:sz w:val="20"/>
                <w:szCs w:val="20"/>
              </w:rPr>
              <w:t>1.49</w:t>
            </w:r>
          </w:p>
        </w:tc>
        <w:tc>
          <w:tcPr>
            <w:tcW w:w="1274" w:type="dxa"/>
          </w:tcPr>
          <w:p w:rsidR="0001468E" w:rsidRPr="004A0F8B" w:rsidRDefault="00567C2B" w:rsidP="004A0F8B">
            <w:pPr>
              <w:keepLines w:val="0"/>
              <w:widowControl w:val="0"/>
              <w:cnfStyle w:val="000000000000"/>
              <w:rPr>
                <w:color w:val="595959" w:themeColor="text1" w:themeTint="A6"/>
                <w:sz w:val="20"/>
                <w:szCs w:val="20"/>
              </w:rPr>
            </w:pPr>
            <w:r w:rsidRPr="004A0F8B">
              <w:rPr>
                <w:color w:val="595959" w:themeColor="text1" w:themeTint="A6"/>
                <w:sz w:val="20"/>
                <w:szCs w:val="20"/>
              </w:rPr>
              <w:t>31-12-2012</w:t>
            </w:r>
          </w:p>
        </w:tc>
      </w:tr>
      <w:tr w:rsidR="004A0F8B" w:rsidRPr="004A0F8B" w:rsidTr="004A0F8B">
        <w:tc>
          <w:tcPr>
            <w:cnfStyle w:val="001000000000"/>
            <w:tcW w:w="1636" w:type="dxa"/>
          </w:tcPr>
          <w:p w:rsidR="0001468E" w:rsidRPr="004A0F8B" w:rsidRDefault="0001468E" w:rsidP="004A0F8B">
            <w:pPr>
              <w:rPr>
                <w:color w:val="595959" w:themeColor="text1" w:themeTint="A6"/>
                <w:sz w:val="20"/>
                <w:szCs w:val="20"/>
              </w:rPr>
            </w:pPr>
            <w:r w:rsidRPr="004A0F8B">
              <w:rPr>
                <w:color w:val="595959" w:themeColor="text1" w:themeTint="A6"/>
                <w:sz w:val="20"/>
                <w:szCs w:val="20"/>
              </w:rPr>
              <w:t>Kellogg</w:t>
            </w:r>
          </w:p>
        </w:tc>
        <w:tc>
          <w:tcPr>
            <w:tcW w:w="3903" w:type="dxa"/>
          </w:tcPr>
          <w:p w:rsidR="0001468E" w:rsidRPr="004A0F8B" w:rsidRDefault="0001468E" w:rsidP="004A0F8B">
            <w:pPr>
              <w:pStyle w:val="Tabeltekst"/>
              <w:keepLines w:val="0"/>
              <w:widowControl w:val="0"/>
              <w:jc w:val="left"/>
              <w:cnfStyle w:val="000000000000"/>
              <w:rPr>
                <w:color w:val="595959" w:themeColor="text1" w:themeTint="A6"/>
              </w:rPr>
            </w:pPr>
            <w:r w:rsidRPr="004A0F8B">
              <w:rPr>
                <w:color w:val="595959" w:themeColor="text1" w:themeTint="A6"/>
              </w:rPr>
              <w:t>ING Investment Management Company</w:t>
            </w:r>
          </w:p>
        </w:tc>
        <w:tc>
          <w:tcPr>
            <w:tcW w:w="852" w:type="dxa"/>
          </w:tcPr>
          <w:p w:rsidR="0001468E" w:rsidRPr="004A0F8B" w:rsidRDefault="0001468E" w:rsidP="004A0F8B">
            <w:pPr>
              <w:keepLines w:val="0"/>
              <w:widowControl w:val="0"/>
              <w:cnfStyle w:val="000000000000"/>
              <w:rPr>
                <w:color w:val="595959" w:themeColor="text1" w:themeTint="A6"/>
                <w:sz w:val="20"/>
                <w:szCs w:val="20"/>
              </w:rPr>
            </w:pPr>
            <w:r w:rsidRPr="004A0F8B">
              <w:rPr>
                <w:color w:val="595959" w:themeColor="text1" w:themeTint="A6"/>
                <w:sz w:val="20"/>
                <w:szCs w:val="20"/>
              </w:rPr>
              <w:t>0.07</w:t>
            </w:r>
          </w:p>
        </w:tc>
        <w:tc>
          <w:tcPr>
            <w:tcW w:w="1274" w:type="dxa"/>
          </w:tcPr>
          <w:p w:rsidR="0001468E" w:rsidRPr="004A0F8B" w:rsidRDefault="0001468E" w:rsidP="004A0F8B">
            <w:pPr>
              <w:keepLines w:val="0"/>
              <w:widowControl w:val="0"/>
              <w:cnfStyle w:val="000000000000"/>
              <w:rPr>
                <w:color w:val="595959" w:themeColor="text1" w:themeTint="A6"/>
                <w:sz w:val="20"/>
                <w:szCs w:val="20"/>
              </w:rPr>
            </w:pPr>
            <w:r w:rsidRPr="004A0F8B">
              <w:rPr>
                <w:color w:val="595959" w:themeColor="text1" w:themeTint="A6"/>
                <w:sz w:val="20"/>
                <w:szCs w:val="20"/>
              </w:rPr>
              <w:t>3.31</w:t>
            </w:r>
          </w:p>
        </w:tc>
        <w:tc>
          <w:tcPr>
            <w:tcW w:w="1274" w:type="dxa"/>
          </w:tcPr>
          <w:p w:rsidR="0001468E" w:rsidRPr="004A0F8B" w:rsidRDefault="00567C2B" w:rsidP="004A0F8B">
            <w:pPr>
              <w:keepLines w:val="0"/>
              <w:widowControl w:val="0"/>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01468E" w:rsidRPr="004A0F8B" w:rsidRDefault="0001468E" w:rsidP="004A0F8B">
            <w:pPr>
              <w:rPr>
                <w:color w:val="595959" w:themeColor="text1" w:themeTint="A6"/>
                <w:sz w:val="20"/>
                <w:szCs w:val="20"/>
              </w:rPr>
            </w:pPr>
            <w:r w:rsidRPr="004A0F8B">
              <w:rPr>
                <w:color w:val="595959" w:themeColor="text1" w:themeTint="A6"/>
                <w:sz w:val="20"/>
                <w:szCs w:val="20"/>
              </w:rPr>
              <w:t>Kellogg</w:t>
            </w:r>
          </w:p>
        </w:tc>
        <w:tc>
          <w:tcPr>
            <w:tcW w:w="3903" w:type="dxa"/>
          </w:tcPr>
          <w:p w:rsidR="0001468E" w:rsidRPr="004A0F8B" w:rsidRDefault="0001468E" w:rsidP="004A0F8B">
            <w:pPr>
              <w:pStyle w:val="Tabeltekst"/>
              <w:keepLines w:val="0"/>
              <w:widowControl w:val="0"/>
              <w:jc w:val="left"/>
              <w:cnfStyle w:val="000000000000"/>
              <w:rPr>
                <w:color w:val="595959" w:themeColor="text1" w:themeTint="A6"/>
              </w:rPr>
            </w:pPr>
            <w:r w:rsidRPr="004A0F8B">
              <w:rPr>
                <w:color w:val="595959" w:themeColor="text1" w:themeTint="A6"/>
              </w:rPr>
              <w:t>ING Life Insurance &amp; Annuity Company</w:t>
            </w:r>
          </w:p>
        </w:tc>
        <w:tc>
          <w:tcPr>
            <w:tcW w:w="852" w:type="dxa"/>
          </w:tcPr>
          <w:p w:rsidR="0001468E" w:rsidRPr="004A0F8B" w:rsidRDefault="00567C2B" w:rsidP="004A0F8B">
            <w:pPr>
              <w:keepLines w:val="0"/>
              <w:widowControl w:val="0"/>
              <w:cnfStyle w:val="000000000000"/>
              <w:rPr>
                <w:color w:val="595959" w:themeColor="text1" w:themeTint="A6"/>
                <w:sz w:val="20"/>
                <w:szCs w:val="20"/>
              </w:rPr>
            </w:pPr>
            <w:r w:rsidRPr="004A0F8B">
              <w:rPr>
                <w:color w:val="595959" w:themeColor="text1" w:themeTint="A6"/>
                <w:sz w:val="20"/>
                <w:szCs w:val="20"/>
              </w:rPr>
              <w:t>0.05</w:t>
            </w:r>
          </w:p>
        </w:tc>
        <w:tc>
          <w:tcPr>
            <w:tcW w:w="1274" w:type="dxa"/>
          </w:tcPr>
          <w:p w:rsidR="0001468E" w:rsidRPr="004A0F8B" w:rsidRDefault="00567C2B" w:rsidP="004A0F8B">
            <w:pPr>
              <w:keepLines w:val="0"/>
              <w:widowControl w:val="0"/>
              <w:cnfStyle w:val="000000000000"/>
              <w:rPr>
                <w:color w:val="595959" w:themeColor="text1" w:themeTint="A6"/>
                <w:sz w:val="20"/>
                <w:szCs w:val="20"/>
              </w:rPr>
            </w:pPr>
            <w:r w:rsidRPr="004A0F8B">
              <w:rPr>
                <w:color w:val="595959" w:themeColor="text1" w:themeTint="A6"/>
                <w:sz w:val="20"/>
                <w:szCs w:val="20"/>
              </w:rPr>
              <w:t>2.61</w:t>
            </w:r>
          </w:p>
        </w:tc>
        <w:tc>
          <w:tcPr>
            <w:tcW w:w="1274" w:type="dxa"/>
          </w:tcPr>
          <w:p w:rsidR="0001468E" w:rsidRPr="004A0F8B" w:rsidRDefault="00567C2B"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01468E" w:rsidRPr="004A0F8B" w:rsidRDefault="00777259" w:rsidP="004A0F8B">
            <w:pPr>
              <w:pStyle w:val="Tabeltekst"/>
              <w:keepLines w:val="0"/>
              <w:widowControl w:val="0"/>
              <w:rPr>
                <w:color w:val="595959" w:themeColor="text1" w:themeTint="A6"/>
              </w:rPr>
            </w:pPr>
            <w:r w:rsidRPr="004A0F8B">
              <w:rPr>
                <w:color w:val="595959" w:themeColor="text1" w:themeTint="A6"/>
              </w:rPr>
              <w:t>Mondelēz International</w:t>
            </w:r>
          </w:p>
        </w:tc>
        <w:tc>
          <w:tcPr>
            <w:tcW w:w="3903" w:type="dxa"/>
          </w:tcPr>
          <w:p w:rsidR="0001468E" w:rsidRPr="004A0F8B" w:rsidRDefault="006545D4" w:rsidP="004A0F8B">
            <w:pPr>
              <w:pStyle w:val="Tabeltekst"/>
              <w:keepLines w:val="0"/>
              <w:widowControl w:val="0"/>
              <w:jc w:val="left"/>
              <w:cnfStyle w:val="000000000000"/>
              <w:rPr>
                <w:color w:val="595959" w:themeColor="text1" w:themeTint="A6"/>
              </w:rPr>
            </w:pPr>
            <w:r w:rsidRPr="004A0F8B">
              <w:rPr>
                <w:color w:val="595959" w:themeColor="text1" w:themeTint="A6"/>
              </w:rPr>
              <w:t>ING International Advisory SA</w:t>
            </w:r>
          </w:p>
        </w:tc>
        <w:tc>
          <w:tcPr>
            <w:tcW w:w="852" w:type="dxa"/>
          </w:tcPr>
          <w:p w:rsidR="0001468E"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0.01</w:t>
            </w:r>
          </w:p>
        </w:tc>
        <w:tc>
          <w:tcPr>
            <w:tcW w:w="1274" w:type="dxa"/>
          </w:tcPr>
          <w:p w:rsidR="0001468E"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1.30</w:t>
            </w:r>
          </w:p>
        </w:tc>
        <w:tc>
          <w:tcPr>
            <w:tcW w:w="1274" w:type="dxa"/>
          </w:tcPr>
          <w:p w:rsidR="0001468E"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6545D4" w:rsidRPr="004A0F8B" w:rsidRDefault="006545D4" w:rsidP="004A0F8B">
            <w:pPr>
              <w:rPr>
                <w:color w:val="595959" w:themeColor="text1" w:themeTint="A6"/>
                <w:sz w:val="20"/>
                <w:szCs w:val="20"/>
              </w:rPr>
            </w:pPr>
            <w:r w:rsidRPr="004A0F8B">
              <w:rPr>
                <w:color w:val="595959" w:themeColor="text1" w:themeTint="A6"/>
                <w:sz w:val="20"/>
                <w:szCs w:val="20"/>
              </w:rPr>
              <w:t>Mondelēz International</w:t>
            </w:r>
          </w:p>
        </w:tc>
        <w:tc>
          <w:tcPr>
            <w:tcW w:w="3903" w:type="dxa"/>
          </w:tcPr>
          <w:p w:rsidR="006545D4" w:rsidRPr="004A0F8B" w:rsidRDefault="006545D4" w:rsidP="004A0F8B">
            <w:pPr>
              <w:pStyle w:val="Tabeltekst"/>
              <w:keepLines w:val="0"/>
              <w:widowControl w:val="0"/>
              <w:jc w:val="left"/>
              <w:cnfStyle w:val="000000000000"/>
              <w:rPr>
                <w:color w:val="595959" w:themeColor="text1" w:themeTint="A6"/>
              </w:rPr>
            </w:pPr>
            <w:r w:rsidRPr="004A0F8B">
              <w:rPr>
                <w:color w:val="595959" w:themeColor="text1" w:themeTint="A6"/>
              </w:rPr>
              <w:t>ING Investment LLC</w:t>
            </w:r>
          </w:p>
        </w:tc>
        <w:tc>
          <w:tcPr>
            <w:tcW w:w="852"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0.02</w:t>
            </w:r>
          </w:p>
        </w:tc>
        <w:tc>
          <w:tcPr>
            <w:tcW w:w="1274"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2.04</w:t>
            </w:r>
          </w:p>
        </w:tc>
        <w:tc>
          <w:tcPr>
            <w:tcW w:w="1274" w:type="dxa"/>
          </w:tcPr>
          <w:p w:rsidR="006545D4" w:rsidRPr="004A0F8B" w:rsidRDefault="006545D4" w:rsidP="004A0F8B">
            <w:pPr>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6545D4" w:rsidRPr="004A0F8B" w:rsidRDefault="006545D4" w:rsidP="004A0F8B">
            <w:pPr>
              <w:rPr>
                <w:color w:val="595959" w:themeColor="text1" w:themeTint="A6"/>
                <w:sz w:val="20"/>
                <w:szCs w:val="20"/>
              </w:rPr>
            </w:pPr>
            <w:r w:rsidRPr="004A0F8B">
              <w:rPr>
                <w:color w:val="595959" w:themeColor="text1" w:themeTint="A6"/>
                <w:sz w:val="20"/>
                <w:szCs w:val="20"/>
              </w:rPr>
              <w:t>Mondelēz International</w:t>
            </w:r>
          </w:p>
        </w:tc>
        <w:tc>
          <w:tcPr>
            <w:tcW w:w="3903" w:type="dxa"/>
          </w:tcPr>
          <w:p w:rsidR="006545D4" w:rsidRPr="004A0F8B" w:rsidRDefault="006545D4" w:rsidP="004A0F8B">
            <w:pPr>
              <w:pStyle w:val="Tabeltekst"/>
              <w:keepLines w:val="0"/>
              <w:widowControl w:val="0"/>
              <w:jc w:val="left"/>
              <w:cnfStyle w:val="000000000000"/>
              <w:rPr>
                <w:color w:val="595959" w:themeColor="text1" w:themeTint="A6"/>
              </w:rPr>
            </w:pPr>
            <w:r w:rsidRPr="004A0F8B">
              <w:rPr>
                <w:color w:val="595959" w:themeColor="text1" w:themeTint="A6"/>
              </w:rPr>
              <w:t>ING Investments LLC</w:t>
            </w:r>
          </w:p>
        </w:tc>
        <w:tc>
          <w:tcPr>
            <w:tcW w:w="852"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0.01</w:t>
            </w:r>
          </w:p>
        </w:tc>
        <w:tc>
          <w:tcPr>
            <w:tcW w:w="1274"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1.24</w:t>
            </w:r>
          </w:p>
        </w:tc>
        <w:tc>
          <w:tcPr>
            <w:tcW w:w="1274"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6545D4" w:rsidRPr="004A0F8B" w:rsidRDefault="006545D4" w:rsidP="004A0F8B">
            <w:pPr>
              <w:rPr>
                <w:color w:val="595959" w:themeColor="text1" w:themeTint="A6"/>
                <w:sz w:val="20"/>
                <w:szCs w:val="20"/>
              </w:rPr>
            </w:pPr>
            <w:r w:rsidRPr="004A0F8B">
              <w:rPr>
                <w:color w:val="595959" w:themeColor="text1" w:themeTint="A6"/>
                <w:sz w:val="20"/>
                <w:szCs w:val="20"/>
              </w:rPr>
              <w:t>Mondelēz International</w:t>
            </w:r>
          </w:p>
        </w:tc>
        <w:tc>
          <w:tcPr>
            <w:tcW w:w="3903" w:type="dxa"/>
          </w:tcPr>
          <w:p w:rsidR="006545D4" w:rsidRPr="004A0F8B" w:rsidRDefault="006545D4" w:rsidP="004A0F8B">
            <w:pPr>
              <w:pStyle w:val="Tabeltekst"/>
              <w:keepLines w:val="0"/>
              <w:widowControl w:val="0"/>
              <w:jc w:val="left"/>
              <w:cnfStyle w:val="000000000000"/>
              <w:rPr>
                <w:color w:val="595959" w:themeColor="text1" w:themeTint="A6"/>
              </w:rPr>
            </w:pPr>
            <w:r w:rsidRPr="004A0F8B">
              <w:rPr>
                <w:color w:val="595959" w:themeColor="text1" w:themeTint="A6"/>
              </w:rPr>
              <w:t>ING Life Insurance &amp; Annuity Company</w:t>
            </w:r>
          </w:p>
        </w:tc>
        <w:tc>
          <w:tcPr>
            <w:tcW w:w="852"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0.30</w:t>
            </w:r>
          </w:p>
        </w:tc>
        <w:tc>
          <w:tcPr>
            <w:tcW w:w="1274"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39.22</w:t>
            </w:r>
          </w:p>
        </w:tc>
        <w:tc>
          <w:tcPr>
            <w:tcW w:w="1274" w:type="dxa"/>
          </w:tcPr>
          <w:p w:rsidR="006545D4" w:rsidRPr="004A0F8B" w:rsidRDefault="006545D4"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6545D4" w:rsidRPr="004A0F8B" w:rsidRDefault="006545D4" w:rsidP="004A0F8B">
            <w:pPr>
              <w:rPr>
                <w:color w:val="595959" w:themeColor="text1" w:themeTint="A6"/>
                <w:sz w:val="20"/>
                <w:szCs w:val="20"/>
              </w:rPr>
            </w:pPr>
            <w:r w:rsidRPr="004A0F8B">
              <w:rPr>
                <w:color w:val="595959" w:themeColor="text1" w:themeTint="A6"/>
                <w:sz w:val="20"/>
                <w:szCs w:val="20"/>
              </w:rPr>
              <w:t>Mondelēz International</w:t>
            </w:r>
          </w:p>
        </w:tc>
        <w:tc>
          <w:tcPr>
            <w:tcW w:w="3903" w:type="dxa"/>
          </w:tcPr>
          <w:p w:rsidR="006545D4" w:rsidRPr="004A0F8B" w:rsidRDefault="006545D4" w:rsidP="004A0F8B">
            <w:pPr>
              <w:pStyle w:val="Tabeltekst"/>
              <w:keepLines w:val="0"/>
              <w:widowControl w:val="0"/>
              <w:jc w:val="left"/>
              <w:cnfStyle w:val="000000000000"/>
              <w:rPr>
                <w:color w:val="595959" w:themeColor="text1" w:themeTint="A6"/>
              </w:rPr>
            </w:pPr>
            <w:r w:rsidRPr="004A0F8B">
              <w:rPr>
                <w:color w:val="595959" w:themeColor="text1" w:themeTint="A6"/>
              </w:rPr>
              <w:t>ING USA Annuity and Life Insurance Company</w:t>
            </w:r>
          </w:p>
        </w:tc>
        <w:tc>
          <w:tcPr>
            <w:tcW w:w="852"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0.15</w:t>
            </w:r>
          </w:p>
        </w:tc>
        <w:tc>
          <w:tcPr>
            <w:tcW w:w="1274" w:type="dxa"/>
          </w:tcPr>
          <w:p w:rsidR="006545D4" w:rsidRPr="004A0F8B" w:rsidRDefault="006545D4" w:rsidP="004A0F8B">
            <w:pPr>
              <w:keepLines w:val="0"/>
              <w:widowControl w:val="0"/>
              <w:cnfStyle w:val="000000000000"/>
              <w:rPr>
                <w:color w:val="595959" w:themeColor="text1" w:themeTint="A6"/>
                <w:sz w:val="20"/>
                <w:szCs w:val="20"/>
              </w:rPr>
            </w:pPr>
            <w:r w:rsidRPr="004A0F8B">
              <w:rPr>
                <w:color w:val="595959" w:themeColor="text1" w:themeTint="A6"/>
                <w:sz w:val="20"/>
                <w:szCs w:val="20"/>
              </w:rPr>
              <w:t>19.65</w:t>
            </w:r>
          </w:p>
        </w:tc>
        <w:tc>
          <w:tcPr>
            <w:tcW w:w="1274" w:type="dxa"/>
          </w:tcPr>
          <w:p w:rsidR="006545D4" w:rsidRPr="004A0F8B" w:rsidRDefault="006545D4"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9458D0" w:rsidRPr="004A0F8B" w:rsidRDefault="009458D0" w:rsidP="004A0F8B">
            <w:pPr>
              <w:rPr>
                <w:color w:val="595959" w:themeColor="text1" w:themeTint="A6"/>
                <w:sz w:val="20"/>
                <w:szCs w:val="20"/>
              </w:rPr>
            </w:pPr>
            <w:r w:rsidRPr="004A0F8B">
              <w:rPr>
                <w:color w:val="595959" w:themeColor="text1" w:themeTint="A6"/>
                <w:sz w:val="20"/>
                <w:szCs w:val="20"/>
              </w:rPr>
              <w:t>Mondelēz International</w:t>
            </w:r>
          </w:p>
        </w:tc>
        <w:tc>
          <w:tcPr>
            <w:tcW w:w="3903" w:type="dxa"/>
          </w:tcPr>
          <w:p w:rsidR="009458D0" w:rsidRPr="004A0F8B" w:rsidRDefault="009458D0"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 of New York</w:t>
            </w:r>
          </w:p>
        </w:tc>
        <w:tc>
          <w:tcPr>
            <w:tcW w:w="852" w:type="dxa"/>
          </w:tcPr>
          <w:p w:rsidR="009458D0" w:rsidRPr="004A0F8B" w:rsidRDefault="009458D0" w:rsidP="004A0F8B">
            <w:pPr>
              <w:keepLines w:val="0"/>
              <w:widowControl w:val="0"/>
              <w:cnfStyle w:val="000000000000"/>
              <w:rPr>
                <w:color w:val="595959" w:themeColor="text1" w:themeTint="A6"/>
                <w:sz w:val="20"/>
                <w:szCs w:val="20"/>
              </w:rPr>
            </w:pPr>
            <w:r w:rsidRPr="004A0F8B">
              <w:rPr>
                <w:color w:val="595959" w:themeColor="text1" w:themeTint="A6"/>
                <w:sz w:val="20"/>
                <w:szCs w:val="20"/>
              </w:rPr>
              <w:t>0.01</w:t>
            </w:r>
          </w:p>
        </w:tc>
        <w:tc>
          <w:tcPr>
            <w:tcW w:w="1274" w:type="dxa"/>
          </w:tcPr>
          <w:p w:rsidR="009458D0" w:rsidRPr="004A0F8B" w:rsidRDefault="009458D0" w:rsidP="004A0F8B">
            <w:pPr>
              <w:keepLines w:val="0"/>
              <w:widowControl w:val="0"/>
              <w:cnfStyle w:val="000000000000"/>
              <w:rPr>
                <w:color w:val="595959" w:themeColor="text1" w:themeTint="A6"/>
                <w:sz w:val="20"/>
                <w:szCs w:val="20"/>
              </w:rPr>
            </w:pPr>
            <w:r w:rsidRPr="004A0F8B">
              <w:rPr>
                <w:color w:val="595959" w:themeColor="text1" w:themeTint="A6"/>
                <w:sz w:val="20"/>
                <w:szCs w:val="20"/>
              </w:rPr>
              <w:t>1.51</w:t>
            </w:r>
          </w:p>
        </w:tc>
        <w:tc>
          <w:tcPr>
            <w:tcW w:w="1274" w:type="dxa"/>
          </w:tcPr>
          <w:p w:rsidR="009458D0" w:rsidRPr="004A0F8B" w:rsidRDefault="009458D0"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9458D0" w:rsidRPr="004A0F8B" w:rsidRDefault="009458D0" w:rsidP="004A0F8B">
            <w:pPr>
              <w:rPr>
                <w:color w:val="595959" w:themeColor="text1" w:themeTint="A6"/>
                <w:sz w:val="20"/>
                <w:szCs w:val="20"/>
              </w:rPr>
            </w:pPr>
            <w:r w:rsidRPr="004A0F8B">
              <w:rPr>
                <w:color w:val="595959" w:themeColor="text1" w:themeTint="A6"/>
                <w:sz w:val="20"/>
                <w:szCs w:val="20"/>
              </w:rPr>
              <w:t>Mondelēz International</w:t>
            </w:r>
          </w:p>
        </w:tc>
        <w:tc>
          <w:tcPr>
            <w:tcW w:w="3903" w:type="dxa"/>
          </w:tcPr>
          <w:p w:rsidR="009458D0" w:rsidRPr="004A0F8B" w:rsidRDefault="009458D0"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w:t>
            </w:r>
          </w:p>
        </w:tc>
        <w:tc>
          <w:tcPr>
            <w:tcW w:w="852" w:type="dxa"/>
          </w:tcPr>
          <w:p w:rsidR="009458D0" w:rsidRPr="004A0F8B" w:rsidRDefault="009458D0" w:rsidP="004A0F8B">
            <w:pPr>
              <w:keepLines w:val="0"/>
              <w:widowControl w:val="0"/>
              <w:cnfStyle w:val="000000000000"/>
              <w:rPr>
                <w:color w:val="595959" w:themeColor="text1" w:themeTint="A6"/>
                <w:sz w:val="20"/>
                <w:szCs w:val="20"/>
              </w:rPr>
            </w:pPr>
            <w:r w:rsidRPr="004A0F8B">
              <w:rPr>
                <w:color w:val="595959" w:themeColor="text1" w:themeTint="A6"/>
                <w:sz w:val="20"/>
                <w:szCs w:val="20"/>
              </w:rPr>
              <w:t>0.38</w:t>
            </w:r>
          </w:p>
        </w:tc>
        <w:tc>
          <w:tcPr>
            <w:tcW w:w="1274" w:type="dxa"/>
          </w:tcPr>
          <w:p w:rsidR="009458D0" w:rsidRPr="004A0F8B" w:rsidRDefault="009458D0" w:rsidP="004A0F8B">
            <w:pPr>
              <w:keepLines w:val="0"/>
              <w:widowControl w:val="0"/>
              <w:cnfStyle w:val="000000000000"/>
              <w:rPr>
                <w:color w:val="595959" w:themeColor="text1" w:themeTint="A6"/>
                <w:sz w:val="20"/>
                <w:szCs w:val="20"/>
              </w:rPr>
            </w:pPr>
            <w:r w:rsidRPr="004A0F8B">
              <w:rPr>
                <w:color w:val="595959" w:themeColor="text1" w:themeTint="A6"/>
                <w:sz w:val="20"/>
                <w:szCs w:val="20"/>
              </w:rPr>
              <w:t>50.32</w:t>
            </w:r>
          </w:p>
        </w:tc>
        <w:tc>
          <w:tcPr>
            <w:tcW w:w="1274" w:type="dxa"/>
          </w:tcPr>
          <w:p w:rsidR="009458D0" w:rsidRPr="004A0F8B" w:rsidRDefault="009458D0"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6545D4" w:rsidRPr="004A0F8B" w:rsidRDefault="001D54A5" w:rsidP="004A0F8B">
            <w:pPr>
              <w:pStyle w:val="Tabeltekst"/>
              <w:keepLines w:val="0"/>
              <w:widowControl w:val="0"/>
              <w:rPr>
                <w:color w:val="595959" w:themeColor="text1" w:themeTint="A6"/>
              </w:rPr>
            </w:pPr>
            <w:r w:rsidRPr="004A0F8B">
              <w:rPr>
                <w:color w:val="595959" w:themeColor="text1" w:themeTint="A6"/>
              </w:rPr>
              <w:t>Nestlé</w:t>
            </w:r>
          </w:p>
        </w:tc>
        <w:tc>
          <w:tcPr>
            <w:tcW w:w="3903" w:type="dxa"/>
          </w:tcPr>
          <w:p w:rsidR="006545D4" w:rsidRPr="004A0F8B" w:rsidRDefault="001D54A5" w:rsidP="004A0F8B">
            <w:pPr>
              <w:pStyle w:val="Tabeltekst"/>
              <w:keepLines w:val="0"/>
              <w:widowControl w:val="0"/>
              <w:jc w:val="left"/>
              <w:cnfStyle w:val="000000000000"/>
              <w:rPr>
                <w:color w:val="595959" w:themeColor="text1" w:themeTint="A6"/>
              </w:rPr>
            </w:pPr>
            <w:r w:rsidRPr="004A0F8B">
              <w:rPr>
                <w:color w:val="595959" w:themeColor="text1" w:themeTint="A6"/>
              </w:rPr>
              <w:t>ING Investment Management NV</w:t>
            </w:r>
          </w:p>
        </w:tc>
        <w:tc>
          <w:tcPr>
            <w:tcW w:w="852" w:type="dxa"/>
          </w:tcPr>
          <w:p w:rsidR="006545D4" w:rsidRPr="004A0F8B" w:rsidRDefault="001D54A5" w:rsidP="004A0F8B">
            <w:pPr>
              <w:keepLines w:val="0"/>
              <w:widowControl w:val="0"/>
              <w:cnfStyle w:val="000000000000"/>
              <w:rPr>
                <w:color w:val="595959" w:themeColor="text1" w:themeTint="A6"/>
                <w:sz w:val="20"/>
                <w:szCs w:val="20"/>
              </w:rPr>
            </w:pPr>
            <w:r w:rsidRPr="004A0F8B">
              <w:rPr>
                <w:color w:val="595959" w:themeColor="text1" w:themeTint="A6"/>
                <w:sz w:val="20"/>
                <w:szCs w:val="20"/>
              </w:rPr>
              <w:t>0.02</w:t>
            </w:r>
          </w:p>
        </w:tc>
        <w:tc>
          <w:tcPr>
            <w:tcW w:w="1274" w:type="dxa"/>
          </w:tcPr>
          <w:p w:rsidR="006545D4" w:rsidRPr="004A0F8B" w:rsidRDefault="001D54A5" w:rsidP="004A0F8B">
            <w:pPr>
              <w:keepLines w:val="0"/>
              <w:widowControl w:val="0"/>
              <w:cnfStyle w:val="000000000000"/>
              <w:rPr>
                <w:color w:val="595959" w:themeColor="text1" w:themeTint="A6"/>
                <w:sz w:val="20"/>
                <w:szCs w:val="20"/>
              </w:rPr>
            </w:pPr>
            <w:r w:rsidRPr="004A0F8B">
              <w:rPr>
                <w:color w:val="595959" w:themeColor="text1" w:themeTint="A6"/>
                <w:sz w:val="20"/>
                <w:szCs w:val="20"/>
              </w:rPr>
              <w:t>1.53</w:t>
            </w:r>
          </w:p>
        </w:tc>
        <w:tc>
          <w:tcPr>
            <w:tcW w:w="1274" w:type="dxa"/>
          </w:tcPr>
          <w:p w:rsidR="006545D4" w:rsidRPr="004A0F8B" w:rsidRDefault="001D54A5" w:rsidP="004A0F8B">
            <w:pPr>
              <w:keepLines w:val="0"/>
              <w:widowControl w:val="0"/>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D76129" w:rsidRPr="004A0F8B" w:rsidRDefault="00D76129" w:rsidP="004A0F8B">
            <w:pPr>
              <w:pStyle w:val="Tabeltekst"/>
              <w:keepLines w:val="0"/>
              <w:widowControl w:val="0"/>
              <w:rPr>
                <w:color w:val="595959" w:themeColor="text1" w:themeTint="A6"/>
              </w:rPr>
            </w:pPr>
            <w:r w:rsidRPr="004A0F8B">
              <w:rPr>
                <w:color w:val="595959" w:themeColor="text1" w:themeTint="A6"/>
              </w:rPr>
              <w:t>PepsiCo</w:t>
            </w:r>
          </w:p>
        </w:tc>
        <w:tc>
          <w:tcPr>
            <w:tcW w:w="3903" w:type="dxa"/>
          </w:tcPr>
          <w:p w:rsidR="00D76129" w:rsidRPr="004A0F8B" w:rsidRDefault="00D76129" w:rsidP="004A0F8B">
            <w:pPr>
              <w:pStyle w:val="Tabeltekst"/>
              <w:keepLines w:val="0"/>
              <w:widowControl w:val="0"/>
              <w:jc w:val="left"/>
              <w:cnfStyle w:val="000000000000"/>
              <w:rPr>
                <w:color w:val="595959" w:themeColor="text1" w:themeTint="A6"/>
              </w:rPr>
            </w:pPr>
            <w:r w:rsidRPr="004A0F8B">
              <w:rPr>
                <w:color w:val="595959" w:themeColor="text1" w:themeTint="A6"/>
              </w:rPr>
              <w:t>ING Investment LLC</w:t>
            </w:r>
          </w:p>
        </w:tc>
        <w:tc>
          <w:tcPr>
            <w:tcW w:w="852"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0.15</w:t>
            </w:r>
          </w:p>
        </w:tc>
        <w:tc>
          <w:tcPr>
            <w:tcW w:w="1274"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33.48</w:t>
            </w:r>
          </w:p>
        </w:tc>
        <w:tc>
          <w:tcPr>
            <w:tcW w:w="1274" w:type="dxa"/>
          </w:tcPr>
          <w:p w:rsidR="00D76129" w:rsidRPr="004A0F8B" w:rsidRDefault="00D76129" w:rsidP="004A0F8B">
            <w:pPr>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D76129" w:rsidRPr="004A0F8B" w:rsidRDefault="00D76129" w:rsidP="004A0F8B">
            <w:pPr>
              <w:rPr>
                <w:color w:val="595959" w:themeColor="text1" w:themeTint="A6"/>
                <w:sz w:val="20"/>
                <w:szCs w:val="20"/>
              </w:rPr>
            </w:pPr>
            <w:r w:rsidRPr="004A0F8B">
              <w:rPr>
                <w:color w:val="595959" w:themeColor="text1" w:themeTint="A6"/>
                <w:sz w:val="20"/>
                <w:szCs w:val="20"/>
              </w:rPr>
              <w:t>PepsiCo</w:t>
            </w:r>
          </w:p>
        </w:tc>
        <w:tc>
          <w:tcPr>
            <w:tcW w:w="3903" w:type="dxa"/>
          </w:tcPr>
          <w:p w:rsidR="00D76129" w:rsidRPr="004A0F8B" w:rsidRDefault="00D76129" w:rsidP="004A0F8B">
            <w:pPr>
              <w:pStyle w:val="Tabeltekst"/>
              <w:keepLines w:val="0"/>
              <w:widowControl w:val="0"/>
              <w:jc w:val="left"/>
              <w:cnfStyle w:val="000000000000"/>
              <w:rPr>
                <w:color w:val="595959" w:themeColor="text1" w:themeTint="A6"/>
              </w:rPr>
            </w:pPr>
            <w:r w:rsidRPr="004A0F8B">
              <w:rPr>
                <w:color w:val="595959" w:themeColor="text1" w:themeTint="A6"/>
              </w:rPr>
              <w:t>ING Investment Management Company</w:t>
            </w:r>
          </w:p>
        </w:tc>
        <w:tc>
          <w:tcPr>
            <w:tcW w:w="852"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0.04</w:t>
            </w:r>
          </w:p>
        </w:tc>
        <w:tc>
          <w:tcPr>
            <w:tcW w:w="1274"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9.24</w:t>
            </w:r>
          </w:p>
        </w:tc>
        <w:tc>
          <w:tcPr>
            <w:tcW w:w="1274" w:type="dxa"/>
          </w:tcPr>
          <w:p w:rsidR="00D76129" w:rsidRPr="004A0F8B" w:rsidRDefault="00D76129" w:rsidP="004A0F8B">
            <w:pPr>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D76129" w:rsidRPr="004A0F8B" w:rsidRDefault="00D76129" w:rsidP="004A0F8B">
            <w:pPr>
              <w:rPr>
                <w:color w:val="595959" w:themeColor="text1" w:themeTint="A6"/>
                <w:sz w:val="20"/>
                <w:szCs w:val="20"/>
              </w:rPr>
            </w:pPr>
            <w:r w:rsidRPr="004A0F8B">
              <w:rPr>
                <w:color w:val="595959" w:themeColor="text1" w:themeTint="A6"/>
                <w:sz w:val="20"/>
                <w:szCs w:val="20"/>
              </w:rPr>
              <w:t>PepsiCo</w:t>
            </w:r>
          </w:p>
        </w:tc>
        <w:tc>
          <w:tcPr>
            <w:tcW w:w="3903" w:type="dxa"/>
          </w:tcPr>
          <w:p w:rsidR="00D76129" w:rsidRPr="004A0F8B" w:rsidRDefault="00D76129" w:rsidP="004A0F8B">
            <w:pPr>
              <w:pStyle w:val="Tabeltekst"/>
              <w:keepLines w:val="0"/>
              <w:widowControl w:val="0"/>
              <w:jc w:val="left"/>
              <w:cnfStyle w:val="000000000000"/>
              <w:rPr>
                <w:color w:val="595959" w:themeColor="text1" w:themeTint="A6"/>
              </w:rPr>
            </w:pPr>
            <w:r w:rsidRPr="004A0F8B">
              <w:rPr>
                <w:color w:val="595959" w:themeColor="text1" w:themeTint="A6"/>
              </w:rPr>
              <w:t>ING Investments LLC</w:t>
            </w:r>
          </w:p>
        </w:tc>
        <w:tc>
          <w:tcPr>
            <w:tcW w:w="852"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0.01</w:t>
            </w:r>
          </w:p>
        </w:tc>
        <w:tc>
          <w:tcPr>
            <w:tcW w:w="1274"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2.95</w:t>
            </w:r>
          </w:p>
        </w:tc>
        <w:tc>
          <w:tcPr>
            <w:tcW w:w="1274" w:type="dxa"/>
          </w:tcPr>
          <w:p w:rsidR="00D76129" w:rsidRPr="004A0F8B" w:rsidRDefault="00D76129" w:rsidP="004A0F8B">
            <w:pPr>
              <w:cnfStyle w:val="000000000000"/>
              <w:rPr>
                <w:color w:val="595959" w:themeColor="text1" w:themeTint="A6"/>
                <w:sz w:val="20"/>
                <w:szCs w:val="20"/>
              </w:rPr>
            </w:pPr>
            <w:r w:rsidRPr="004A0F8B">
              <w:rPr>
                <w:color w:val="595959" w:themeColor="text1" w:themeTint="A6"/>
                <w:sz w:val="20"/>
                <w:szCs w:val="20"/>
              </w:rPr>
              <w:t>30-06-2013</w:t>
            </w:r>
          </w:p>
        </w:tc>
      </w:tr>
      <w:tr w:rsidR="004A0F8B" w:rsidRPr="004A0F8B" w:rsidTr="004A0F8B">
        <w:tc>
          <w:tcPr>
            <w:cnfStyle w:val="001000000000"/>
            <w:tcW w:w="1636" w:type="dxa"/>
          </w:tcPr>
          <w:p w:rsidR="00D76129" w:rsidRPr="004A0F8B" w:rsidRDefault="00D76129" w:rsidP="004A0F8B">
            <w:pPr>
              <w:rPr>
                <w:color w:val="595959" w:themeColor="text1" w:themeTint="A6"/>
                <w:sz w:val="20"/>
                <w:szCs w:val="20"/>
              </w:rPr>
            </w:pPr>
            <w:r w:rsidRPr="004A0F8B">
              <w:rPr>
                <w:color w:val="595959" w:themeColor="text1" w:themeTint="A6"/>
                <w:sz w:val="20"/>
                <w:szCs w:val="20"/>
              </w:rPr>
              <w:t>PepsiCo</w:t>
            </w:r>
          </w:p>
        </w:tc>
        <w:tc>
          <w:tcPr>
            <w:tcW w:w="3903" w:type="dxa"/>
          </w:tcPr>
          <w:p w:rsidR="00D76129" w:rsidRPr="004A0F8B" w:rsidRDefault="00D76129" w:rsidP="004A0F8B">
            <w:pPr>
              <w:pStyle w:val="Tabeltekst"/>
              <w:keepLines w:val="0"/>
              <w:widowControl w:val="0"/>
              <w:jc w:val="left"/>
              <w:cnfStyle w:val="000000000000"/>
              <w:rPr>
                <w:color w:val="595959" w:themeColor="text1" w:themeTint="A6"/>
              </w:rPr>
            </w:pPr>
            <w:r w:rsidRPr="004A0F8B">
              <w:rPr>
                <w:color w:val="595959" w:themeColor="text1" w:themeTint="A6"/>
              </w:rPr>
              <w:t>ING Life Insurance &amp; Annuity Company</w:t>
            </w:r>
          </w:p>
        </w:tc>
        <w:tc>
          <w:tcPr>
            <w:tcW w:w="852"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0.20</w:t>
            </w:r>
          </w:p>
        </w:tc>
        <w:tc>
          <w:tcPr>
            <w:tcW w:w="1274"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44.02</w:t>
            </w:r>
          </w:p>
        </w:tc>
        <w:tc>
          <w:tcPr>
            <w:tcW w:w="1274" w:type="dxa"/>
          </w:tcPr>
          <w:p w:rsidR="00D76129" w:rsidRPr="004A0F8B" w:rsidRDefault="00D76129"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D76129" w:rsidRPr="004A0F8B" w:rsidRDefault="00D76129" w:rsidP="004A0F8B">
            <w:pPr>
              <w:rPr>
                <w:color w:val="595959" w:themeColor="text1" w:themeTint="A6"/>
                <w:sz w:val="20"/>
                <w:szCs w:val="20"/>
              </w:rPr>
            </w:pPr>
            <w:r w:rsidRPr="004A0F8B">
              <w:rPr>
                <w:color w:val="595959" w:themeColor="text1" w:themeTint="A6"/>
                <w:sz w:val="20"/>
                <w:szCs w:val="20"/>
              </w:rPr>
              <w:t>PepsiCo</w:t>
            </w:r>
          </w:p>
        </w:tc>
        <w:tc>
          <w:tcPr>
            <w:tcW w:w="3903" w:type="dxa"/>
          </w:tcPr>
          <w:p w:rsidR="00D76129" w:rsidRPr="004A0F8B" w:rsidRDefault="00D76129" w:rsidP="004A0F8B">
            <w:pPr>
              <w:pStyle w:val="Tabeltekst"/>
              <w:keepLines w:val="0"/>
              <w:widowControl w:val="0"/>
              <w:jc w:val="left"/>
              <w:cnfStyle w:val="000000000000"/>
              <w:rPr>
                <w:color w:val="595959" w:themeColor="text1" w:themeTint="A6"/>
              </w:rPr>
            </w:pPr>
            <w:r w:rsidRPr="004A0F8B">
              <w:rPr>
                <w:color w:val="595959" w:themeColor="text1" w:themeTint="A6"/>
              </w:rPr>
              <w:t>ING USA Annuity and Life Insurance Company</w:t>
            </w:r>
          </w:p>
        </w:tc>
        <w:tc>
          <w:tcPr>
            <w:tcW w:w="852"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0.26</w:t>
            </w:r>
          </w:p>
        </w:tc>
        <w:tc>
          <w:tcPr>
            <w:tcW w:w="1274"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56.49</w:t>
            </w:r>
          </w:p>
        </w:tc>
        <w:tc>
          <w:tcPr>
            <w:tcW w:w="1274" w:type="dxa"/>
          </w:tcPr>
          <w:p w:rsidR="00D76129" w:rsidRPr="004A0F8B" w:rsidRDefault="00D76129"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D76129" w:rsidRPr="004A0F8B" w:rsidRDefault="00D76129" w:rsidP="004A0F8B">
            <w:pPr>
              <w:rPr>
                <w:color w:val="595959" w:themeColor="text1" w:themeTint="A6"/>
                <w:sz w:val="20"/>
                <w:szCs w:val="20"/>
              </w:rPr>
            </w:pPr>
            <w:r w:rsidRPr="004A0F8B">
              <w:rPr>
                <w:color w:val="595959" w:themeColor="text1" w:themeTint="A6"/>
                <w:sz w:val="20"/>
                <w:szCs w:val="20"/>
              </w:rPr>
              <w:t>PepsiCo</w:t>
            </w:r>
          </w:p>
        </w:tc>
        <w:tc>
          <w:tcPr>
            <w:tcW w:w="3903" w:type="dxa"/>
          </w:tcPr>
          <w:p w:rsidR="00D76129" w:rsidRPr="004A0F8B" w:rsidRDefault="00D76129"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 of New York</w:t>
            </w:r>
          </w:p>
        </w:tc>
        <w:tc>
          <w:tcPr>
            <w:tcW w:w="852"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0.08</w:t>
            </w:r>
          </w:p>
        </w:tc>
        <w:tc>
          <w:tcPr>
            <w:tcW w:w="1274"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16.29</w:t>
            </w:r>
          </w:p>
        </w:tc>
        <w:tc>
          <w:tcPr>
            <w:tcW w:w="1274" w:type="dxa"/>
          </w:tcPr>
          <w:p w:rsidR="00D76129" w:rsidRPr="004A0F8B" w:rsidRDefault="00D76129"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D76129" w:rsidRPr="004A0F8B" w:rsidRDefault="00D76129" w:rsidP="004A0F8B">
            <w:pPr>
              <w:rPr>
                <w:color w:val="595959" w:themeColor="text1" w:themeTint="A6"/>
                <w:sz w:val="20"/>
                <w:szCs w:val="20"/>
              </w:rPr>
            </w:pPr>
            <w:r w:rsidRPr="004A0F8B">
              <w:rPr>
                <w:color w:val="595959" w:themeColor="text1" w:themeTint="A6"/>
                <w:sz w:val="20"/>
                <w:szCs w:val="20"/>
              </w:rPr>
              <w:t>PepsiCo</w:t>
            </w:r>
          </w:p>
        </w:tc>
        <w:tc>
          <w:tcPr>
            <w:tcW w:w="3903" w:type="dxa"/>
          </w:tcPr>
          <w:p w:rsidR="00D76129" w:rsidRPr="004A0F8B" w:rsidRDefault="00D76129"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w:t>
            </w:r>
          </w:p>
        </w:tc>
        <w:tc>
          <w:tcPr>
            <w:tcW w:w="852"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0.23</w:t>
            </w:r>
          </w:p>
        </w:tc>
        <w:tc>
          <w:tcPr>
            <w:tcW w:w="1274" w:type="dxa"/>
          </w:tcPr>
          <w:p w:rsidR="00D76129" w:rsidRPr="004A0F8B" w:rsidRDefault="00D76129" w:rsidP="004A0F8B">
            <w:pPr>
              <w:keepLines w:val="0"/>
              <w:widowControl w:val="0"/>
              <w:cnfStyle w:val="000000000000"/>
              <w:rPr>
                <w:color w:val="595959" w:themeColor="text1" w:themeTint="A6"/>
                <w:sz w:val="20"/>
                <w:szCs w:val="20"/>
              </w:rPr>
            </w:pPr>
            <w:r w:rsidRPr="004A0F8B">
              <w:rPr>
                <w:color w:val="595959" w:themeColor="text1" w:themeTint="A6"/>
                <w:sz w:val="20"/>
                <w:szCs w:val="20"/>
              </w:rPr>
              <w:t>48.87</w:t>
            </w:r>
          </w:p>
        </w:tc>
        <w:tc>
          <w:tcPr>
            <w:tcW w:w="1274" w:type="dxa"/>
          </w:tcPr>
          <w:p w:rsidR="00D76129" w:rsidRPr="004A0F8B" w:rsidRDefault="00D76129"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Borders>
              <w:bottom w:val="single" w:sz="4" w:space="0" w:color="9FCB3B"/>
            </w:tcBorders>
          </w:tcPr>
          <w:p w:rsidR="001D54A5" w:rsidRPr="004A0F8B" w:rsidRDefault="00B93F1D" w:rsidP="004A0F8B">
            <w:pPr>
              <w:pStyle w:val="Tabeltekst"/>
              <w:keepLines w:val="0"/>
              <w:widowControl w:val="0"/>
              <w:rPr>
                <w:color w:val="595959" w:themeColor="text1" w:themeTint="A6"/>
              </w:rPr>
            </w:pPr>
            <w:r w:rsidRPr="004A0F8B">
              <w:rPr>
                <w:color w:val="595959" w:themeColor="text1" w:themeTint="A6"/>
              </w:rPr>
              <w:t>Unilever</w:t>
            </w:r>
          </w:p>
        </w:tc>
        <w:tc>
          <w:tcPr>
            <w:tcW w:w="3903" w:type="dxa"/>
            <w:tcBorders>
              <w:bottom w:val="single" w:sz="4" w:space="0" w:color="9FCB3B"/>
            </w:tcBorders>
          </w:tcPr>
          <w:p w:rsidR="001D54A5" w:rsidRPr="004A0F8B" w:rsidRDefault="00B93F1D" w:rsidP="004A0F8B">
            <w:pPr>
              <w:pStyle w:val="Tabeltekst"/>
              <w:keepLines w:val="0"/>
              <w:widowControl w:val="0"/>
              <w:jc w:val="left"/>
              <w:cnfStyle w:val="000000000000"/>
              <w:rPr>
                <w:color w:val="595959" w:themeColor="text1" w:themeTint="A6"/>
              </w:rPr>
            </w:pPr>
            <w:r w:rsidRPr="004A0F8B">
              <w:rPr>
                <w:color w:val="595959" w:themeColor="text1" w:themeTint="A6"/>
              </w:rPr>
              <w:t>ING International Advisory SA</w:t>
            </w:r>
          </w:p>
        </w:tc>
        <w:tc>
          <w:tcPr>
            <w:tcW w:w="852" w:type="dxa"/>
            <w:tcBorders>
              <w:bottom w:val="single" w:sz="4" w:space="0" w:color="9FCB3B"/>
            </w:tcBorders>
          </w:tcPr>
          <w:p w:rsidR="001D54A5" w:rsidRPr="004A0F8B" w:rsidRDefault="00B93F1D" w:rsidP="004A0F8B">
            <w:pPr>
              <w:keepLines w:val="0"/>
              <w:widowControl w:val="0"/>
              <w:cnfStyle w:val="000000000000"/>
              <w:rPr>
                <w:color w:val="595959" w:themeColor="text1" w:themeTint="A6"/>
                <w:sz w:val="20"/>
                <w:szCs w:val="20"/>
              </w:rPr>
            </w:pPr>
            <w:r w:rsidRPr="004A0F8B">
              <w:rPr>
                <w:color w:val="595959" w:themeColor="text1" w:themeTint="A6"/>
                <w:sz w:val="20"/>
                <w:szCs w:val="20"/>
              </w:rPr>
              <w:t>0.01</w:t>
            </w:r>
          </w:p>
        </w:tc>
        <w:tc>
          <w:tcPr>
            <w:tcW w:w="1274" w:type="dxa"/>
            <w:tcBorders>
              <w:bottom w:val="single" w:sz="4" w:space="0" w:color="9FCB3B"/>
            </w:tcBorders>
          </w:tcPr>
          <w:p w:rsidR="001D54A5" w:rsidRPr="004A0F8B" w:rsidRDefault="00B93F1D" w:rsidP="004A0F8B">
            <w:pPr>
              <w:keepLines w:val="0"/>
              <w:widowControl w:val="0"/>
              <w:cnfStyle w:val="000000000000"/>
              <w:rPr>
                <w:color w:val="595959" w:themeColor="text1" w:themeTint="A6"/>
                <w:sz w:val="20"/>
                <w:szCs w:val="20"/>
              </w:rPr>
            </w:pPr>
            <w:r w:rsidRPr="004A0F8B">
              <w:rPr>
                <w:color w:val="595959" w:themeColor="text1" w:themeTint="A6"/>
                <w:sz w:val="20"/>
                <w:szCs w:val="20"/>
              </w:rPr>
              <w:t>1.01</w:t>
            </w:r>
          </w:p>
        </w:tc>
        <w:tc>
          <w:tcPr>
            <w:tcW w:w="1274" w:type="dxa"/>
            <w:tcBorders>
              <w:bottom w:val="single" w:sz="4" w:space="0" w:color="9FCB3B"/>
            </w:tcBorders>
          </w:tcPr>
          <w:p w:rsidR="001D54A5" w:rsidRPr="004A0F8B" w:rsidRDefault="005A3D52"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Borders>
              <w:top w:val="single" w:sz="4" w:space="0" w:color="9FCB3B"/>
              <w:bottom w:val="single" w:sz="4" w:space="0" w:color="9FCB3B"/>
            </w:tcBorders>
          </w:tcPr>
          <w:p w:rsidR="00EF0DA4" w:rsidRPr="004A0F8B" w:rsidRDefault="00EF0DA4" w:rsidP="004A0F8B">
            <w:pPr>
              <w:pStyle w:val="Tabeltekst"/>
              <w:keepLines w:val="0"/>
              <w:widowControl w:val="0"/>
              <w:rPr>
                <w:b/>
                <w:color w:val="595959" w:themeColor="text1" w:themeTint="A6"/>
              </w:rPr>
            </w:pPr>
            <w:r w:rsidRPr="004A0F8B">
              <w:rPr>
                <w:b/>
                <w:color w:val="595959" w:themeColor="text1" w:themeTint="A6"/>
              </w:rPr>
              <w:t>Palm oil, sugar and soy traders</w:t>
            </w:r>
          </w:p>
        </w:tc>
        <w:tc>
          <w:tcPr>
            <w:tcW w:w="3903" w:type="dxa"/>
            <w:tcBorders>
              <w:top w:val="single" w:sz="4" w:space="0" w:color="9FCB3B"/>
              <w:bottom w:val="single" w:sz="4" w:space="0" w:color="9FCB3B"/>
            </w:tcBorders>
          </w:tcPr>
          <w:p w:rsidR="00EF0DA4" w:rsidRPr="004A0F8B" w:rsidRDefault="00EF0DA4" w:rsidP="004A0F8B">
            <w:pPr>
              <w:pStyle w:val="Tabeltekst"/>
              <w:keepLines w:val="0"/>
              <w:widowControl w:val="0"/>
              <w:jc w:val="left"/>
              <w:cnfStyle w:val="000000000000"/>
              <w:rPr>
                <w:b/>
                <w:color w:val="595959" w:themeColor="text1" w:themeTint="A6"/>
              </w:rPr>
            </w:pPr>
            <w:r w:rsidRPr="004A0F8B">
              <w:rPr>
                <w:b/>
                <w:color w:val="595959" w:themeColor="text1" w:themeTint="A6"/>
              </w:rPr>
              <w:t>Investor</w:t>
            </w:r>
          </w:p>
        </w:tc>
        <w:tc>
          <w:tcPr>
            <w:tcW w:w="852" w:type="dxa"/>
            <w:tcBorders>
              <w:top w:val="single" w:sz="4" w:space="0" w:color="9FCB3B"/>
              <w:bottom w:val="single" w:sz="4" w:space="0" w:color="9FCB3B"/>
            </w:tcBorders>
          </w:tcPr>
          <w:p w:rsidR="00EF0DA4" w:rsidRPr="004A0F8B" w:rsidRDefault="00EF0DA4" w:rsidP="004A0F8B">
            <w:pPr>
              <w:keepLines w:val="0"/>
              <w:widowControl w:val="0"/>
              <w:cnfStyle w:val="000000000000"/>
              <w:rPr>
                <w:b/>
                <w:color w:val="595959" w:themeColor="text1" w:themeTint="A6"/>
                <w:sz w:val="20"/>
                <w:szCs w:val="20"/>
              </w:rPr>
            </w:pPr>
            <w:r w:rsidRPr="004A0F8B">
              <w:rPr>
                <w:b/>
                <w:color w:val="595959" w:themeColor="text1" w:themeTint="A6"/>
                <w:sz w:val="20"/>
                <w:szCs w:val="20"/>
              </w:rPr>
              <w:t>% of all bonds</w:t>
            </w:r>
          </w:p>
        </w:tc>
        <w:tc>
          <w:tcPr>
            <w:tcW w:w="1274" w:type="dxa"/>
            <w:tcBorders>
              <w:top w:val="single" w:sz="4" w:space="0" w:color="9FCB3B"/>
              <w:bottom w:val="single" w:sz="4" w:space="0" w:color="9FCB3B"/>
            </w:tcBorders>
          </w:tcPr>
          <w:p w:rsidR="00EF0DA4" w:rsidRPr="004A0F8B" w:rsidRDefault="00EF0DA4" w:rsidP="004A0F8B">
            <w:pPr>
              <w:pStyle w:val="Tabeltekst"/>
              <w:keepLines w:val="0"/>
              <w:widowControl w:val="0"/>
              <w:cnfStyle w:val="000000000000"/>
              <w:rPr>
                <w:b/>
                <w:color w:val="595959" w:themeColor="text1" w:themeTint="A6"/>
              </w:rPr>
            </w:pPr>
            <w:r w:rsidRPr="004A0F8B">
              <w:rPr>
                <w:b/>
                <w:color w:val="595959" w:themeColor="text1" w:themeTint="A6"/>
              </w:rPr>
              <w:t xml:space="preserve">Value </w:t>
            </w:r>
          </w:p>
          <w:p w:rsidR="00EF0DA4" w:rsidRPr="004A0F8B" w:rsidRDefault="00EF0DA4" w:rsidP="004A0F8B">
            <w:pPr>
              <w:keepLines w:val="0"/>
              <w:widowControl w:val="0"/>
              <w:cnfStyle w:val="000000000000"/>
              <w:rPr>
                <w:b/>
                <w:color w:val="595959" w:themeColor="text1" w:themeTint="A6"/>
                <w:sz w:val="20"/>
                <w:szCs w:val="20"/>
              </w:rPr>
            </w:pPr>
            <w:r w:rsidRPr="004A0F8B">
              <w:rPr>
                <w:b/>
                <w:color w:val="595959" w:themeColor="text1" w:themeTint="A6"/>
                <w:sz w:val="20"/>
                <w:szCs w:val="20"/>
              </w:rPr>
              <w:t>(€ million)</w:t>
            </w:r>
          </w:p>
        </w:tc>
        <w:tc>
          <w:tcPr>
            <w:tcW w:w="1274" w:type="dxa"/>
            <w:tcBorders>
              <w:top w:val="single" w:sz="4" w:space="0" w:color="9FCB3B"/>
              <w:bottom w:val="single" w:sz="4" w:space="0" w:color="9FCB3B"/>
            </w:tcBorders>
          </w:tcPr>
          <w:p w:rsidR="00EF0DA4" w:rsidRPr="004A0F8B" w:rsidRDefault="00EF0DA4" w:rsidP="004A0F8B">
            <w:pPr>
              <w:keepLines w:val="0"/>
              <w:widowControl w:val="0"/>
              <w:cnfStyle w:val="000000000000"/>
              <w:rPr>
                <w:b/>
                <w:color w:val="595959" w:themeColor="text1" w:themeTint="A6"/>
                <w:sz w:val="20"/>
                <w:szCs w:val="20"/>
              </w:rPr>
            </w:pPr>
            <w:r w:rsidRPr="004A0F8B">
              <w:rPr>
                <w:b/>
                <w:color w:val="595959" w:themeColor="text1" w:themeTint="A6"/>
                <w:sz w:val="20"/>
                <w:szCs w:val="20"/>
              </w:rPr>
              <w:t>Filing date</w:t>
            </w:r>
          </w:p>
        </w:tc>
      </w:tr>
      <w:tr w:rsidR="004A0F8B" w:rsidRPr="004A0F8B" w:rsidTr="004A0F8B">
        <w:tc>
          <w:tcPr>
            <w:cnfStyle w:val="001000000000"/>
            <w:tcW w:w="1636" w:type="dxa"/>
          </w:tcPr>
          <w:p w:rsidR="00EF0DA4" w:rsidRPr="004A0F8B" w:rsidRDefault="00EF0DA4" w:rsidP="004A0F8B">
            <w:pPr>
              <w:rPr>
                <w:color w:val="595959" w:themeColor="text1" w:themeTint="A6"/>
                <w:sz w:val="20"/>
                <w:szCs w:val="20"/>
              </w:rPr>
            </w:pPr>
            <w:r w:rsidRPr="004A0F8B">
              <w:rPr>
                <w:color w:val="595959" w:themeColor="text1" w:themeTint="A6"/>
                <w:sz w:val="20"/>
                <w:szCs w:val="20"/>
              </w:rPr>
              <w:t>Archer Daniels Midland</w:t>
            </w:r>
          </w:p>
        </w:tc>
        <w:tc>
          <w:tcPr>
            <w:tcW w:w="3903" w:type="dxa"/>
          </w:tcPr>
          <w:p w:rsidR="00EF0DA4" w:rsidRPr="004A0F8B" w:rsidRDefault="00EF0DA4" w:rsidP="004A0F8B">
            <w:pPr>
              <w:pStyle w:val="Tabeltekst"/>
              <w:keepLines w:val="0"/>
              <w:widowControl w:val="0"/>
              <w:jc w:val="left"/>
              <w:cnfStyle w:val="000000000000"/>
              <w:rPr>
                <w:color w:val="595959" w:themeColor="text1" w:themeTint="A6"/>
              </w:rPr>
            </w:pPr>
            <w:r w:rsidRPr="004A0F8B">
              <w:rPr>
                <w:color w:val="595959" w:themeColor="text1" w:themeTint="A6"/>
              </w:rPr>
              <w:t>ING Life Insurance &amp; Annuity Company</w:t>
            </w:r>
          </w:p>
        </w:tc>
        <w:tc>
          <w:tcPr>
            <w:tcW w:w="852" w:type="dxa"/>
          </w:tcPr>
          <w:p w:rsidR="00EF0DA4" w:rsidRPr="004A0F8B" w:rsidRDefault="00EF0DA4" w:rsidP="004A0F8B">
            <w:pPr>
              <w:keepLines w:val="0"/>
              <w:widowControl w:val="0"/>
              <w:cnfStyle w:val="000000000000"/>
              <w:rPr>
                <w:color w:val="595959" w:themeColor="text1" w:themeTint="A6"/>
                <w:sz w:val="20"/>
                <w:szCs w:val="20"/>
              </w:rPr>
            </w:pPr>
            <w:r w:rsidRPr="004A0F8B">
              <w:rPr>
                <w:color w:val="595959" w:themeColor="text1" w:themeTint="A6"/>
                <w:sz w:val="20"/>
                <w:szCs w:val="20"/>
              </w:rPr>
              <w:t>0.05</w:t>
            </w:r>
          </w:p>
        </w:tc>
        <w:tc>
          <w:tcPr>
            <w:tcW w:w="1274" w:type="dxa"/>
          </w:tcPr>
          <w:p w:rsidR="00EF0DA4" w:rsidRPr="004A0F8B" w:rsidRDefault="00EF0DA4" w:rsidP="004A0F8B">
            <w:pPr>
              <w:keepLines w:val="0"/>
              <w:widowControl w:val="0"/>
              <w:cnfStyle w:val="000000000000"/>
              <w:rPr>
                <w:color w:val="595959" w:themeColor="text1" w:themeTint="A6"/>
                <w:sz w:val="20"/>
                <w:szCs w:val="20"/>
              </w:rPr>
            </w:pPr>
            <w:r w:rsidRPr="004A0F8B">
              <w:rPr>
                <w:color w:val="595959" w:themeColor="text1" w:themeTint="A6"/>
                <w:sz w:val="20"/>
                <w:szCs w:val="20"/>
              </w:rPr>
              <w:t>2.26</w:t>
            </w:r>
          </w:p>
        </w:tc>
        <w:tc>
          <w:tcPr>
            <w:tcW w:w="1274" w:type="dxa"/>
          </w:tcPr>
          <w:p w:rsidR="00EF0DA4" w:rsidRPr="004A0F8B" w:rsidRDefault="00EF0DA4"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EF0DA4" w:rsidRPr="004A0F8B" w:rsidRDefault="00EF0DA4" w:rsidP="004A0F8B">
            <w:pPr>
              <w:rPr>
                <w:color w:val="595959" w:themeColor="text1" w:themeTint="A6"/>
                <w:sz w:val="20"/>
                <w:szCs w:val="20"/>
              </w:rPr>
            </w:pPr>
            <w:r w:rsidRPr="004A0F8B">
              <w:rPr>
                <w:color w:val="595959" w:themeColor="text1" w:themeTint="A6"/>
                <w:sz w:val="20"/>
                <w:szCs w:val="20"/>
              </w:rPr>
              <w:t>Archer Daniels Midland</w:t>
            </w:r>
          </w:p>
        </w:tc>
        <w:tc>
          <w:tcPr>
            <w:tcW w:w="3903" w:type="dxa"/>
          </w:tcPr>
          <w:p w:rsidR="00EF0DA4" w:rsidRPr="004A0F8B" w:rsidRDefault="00EF0DA4" w:rsidP="004A0F8B">
            <w:pPr>
              <w:pStyle w:val="Tabeltekst"/>
              <w:keepLines w:val="0"/>
              <w:widowControl w:val="0"/>
              <w:jc w:val="left"/>
              <w:cnfStyle w:val="000000000000"/>
              <w:rPr>
                <w:color w:val="595959" w:themeColor="text1" w:themeTint="A6"/>
              </w:rPr>
            </w:pPr>
            <w:r w:rsidRPr="004A0F8B">
              <w:rPr>
                <w:color w:val="595959" w:themeColor="text1" w:themeTint="A6"/>
              </w:rPr>
              <w:t>ING USA Annuity and Life Insurance Company</w:t>
            </w:r>
          </w:p>
        </w:tc>
        <w:tc>
          <w:tcPr>
            <w:tcW w:w="852" w:type="dxa"/>
          </w:tcPr>
          <w:p w:rsidR="00EF0DA4" w:rsidRPr="004A0F8B" w:rsidRDefault="00EF0DA4" w:rsidP="004A0F8B">
            <w:pPr>
              <w:keepLines w:val="0"/>
              <w:widowControl w:val="0"/>
              <w:cnfStyle w:val="000000000000"/>
              <w:rPr>
                <w:color w:val="595959" w:themeColor="text1" w:themeTint="A6"/>
                <w:sz w:val="20"/>
                <w:szCs w:val="20"/>
              </w:rPr>
            </w:pPr>
            <w:r w:rsidRPr="004A0F8B">
              <w:rPr>
                <w:color w:val="595959" w:themeColor="text1" w:themeTint="A6"/>
                <w:sz w:val="20"/>
                <w:szCs w:val="20"/>
              </w:rPr>
              <w:t>0.07</w:t>
            </w:r>
          </w:p>
        </w:tc>
        <w:tc>
          <w:tcPr>
            <w:tcW w:w="1274" w:type="dxa"/>
          </w:tcPr>
          <w:p w:rsidR="00EF0DA4" w:rsidRPr="004A0F8B" w:rsidRDefault="00EF0DA4" w:rsidP="004A0F8B">
            <w:pPr>
              <w:keepLines w:val="0"/>
              <w:widowControl w:val="0"/>
              <w:cnfStyle w:val="000000000000"/>
              <w:rPr>
                <w:color w:val="595959" w:themeColor="text1" w:themeTint="A6"/>
                <w:sz w:val="20"/>
                <w:szCs w:val="20"/>
              </w:rPr>
            </w:pPr>
            <w:r w:rsidRPr="004A0F8B">
              <w:rPr>
                <w:color w:val="595959" w:themeColor="text1" w:themeTint="A6"/>
                <w:sz w:val="20"/>
                <w:szCs w:val="20"/>
              </w:rPr>
              <w:t>3.58</w:t>
            </w:r>
          </w:p>
        </w:tc>
        <w:tc>
          <w:tcPr>
            <w:tcW w:w="1274" w:type="dxa"/>
          </w:tcPr>
          <w:p w:rsidR="00EF0DA4" w:rsidRPr="004A0F8B" w:rsidRDefault="00EF0DA4"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B507A9" w:rsidRPr="004A0F8B" w:rsidRDefault="00B507A9" w:rsidP="004A0F8B">
            <w:pPr>
              <w:pStyle w:val="Tabeltekst"/>
              <w:keepLines w:val="0"/>
              <w:widowControl w:val="0"/>
              <w:rPr>
                <w:color w:val="595959" w:themeColor="text1" w:themeTint="A6"/>
              </w:rPr>
            </w:pPr>
            <w:r w:rsidRPr="004A0F8B">
              <w:rPr>
                <w:color w:val="595959" w:themeColor="text1" w:themeTint="A6"/>
              </w:rPr>
              <w:t>Archer Daniels Midland</w:t>
            </w:r>
          </w:p>
        </w:tc>
        <w:tc>
          <w:tcPr>
            <w:tcW w:w="3903" w:type="dxa"/>
          </w:tcPr>
          <w:p w:rsidR="00B507A9" w:rsidRPr="004A0F8B" w:rsidRDefault="00B507A9"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w:t>
            </w:r>
          </w:p>
        </w:tc>
        <w:tc>
          <w:tcPr>
            <w:tcW w:w="852" w:type="dxa"/>
          </w:tcPr>
          <w:p w:rsidR="00B507A9" w:rsidRPr="004A0F8B" w:rsidRDefault="00B507A9" w:rsidP="004A0F8B">
            <w:pPr>
              <w:keepLines w:val="0"/>
              <w:widowControl w:val="0"/>
              <w:cnfStyle w:val="000000000000"/>
              <w:rPr>
                <w:color w:val="595959" w:themeColor="text1" w:themeTint="A6"/>
                <w:sz w:val="20"/>
                <w:szCs w:val="20"/>
              </w:rPr>
            </w:pPr>
            <w:r w:rsidRPr="004A0F8B">
              <w:rPr>
                <w:color w:val="595959" w:themeColor="text1" w:themeTint="A6"/>
                <w:sz w:val="20"/>
                <w:szCs w:val="20"/>
              </w:rPr>
              <w:t>0.22</w:t>
            </w:r>
          </w:p>
        </w:tc>
        <w:tc>
          <w:tcPr>
            <w:tcW w:w="1274" w:type="dxa"/>
          </w:tcPr>
          <w:p w:rsidR="00B507A9" w:rsidRPr="004A0F8B" w:rsidRDefault="00B507A9" w:rsidP="004A0F8B">
            <w:pPr>
              <w:keepLines w:val="0"/>
              <w:widowControl w:val="0"/>
              <w:cnfStyle w:val="000000000000"/>
              <w:rPr>
                <w:color w:val="595959" w:themeColor="text1" w:themeTint="A6"/>
                <w:sz w:val="20"/>
                <w:szCs w:val="20"/>
              </w:rPr>
            </w:pPr>
            <w:r w:rsidRPr="004A0F8B">
              <w:rPr>
                <w:color w:val="595959" w:themeColor="text1" w:themeTint="A6"/>
                <w:sz w:val="20"/>
                <w:szCs w:val="20"/>
              </w:rPr>
              <w:t>11.21</w:t>
            </w:r>
          </w:p>
        </w:tc>
        <w:tc>
          <w:tcPr>
            <w:tcW w:w="1274" w:type="dxa"/>
          </w:tcPr>
          <w:p w:rsidR="00B507A9" w:rsidRPr="004A0F8B" w:rsidRDefault="00B507A9"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B507A9" w:rsidRPr="004A0F8B" w:rsidRDefault="00B507A9" w:rsidP="004A0F8B">
            <w:pPr>
              <w:rPr>
                <w:color w:val="595959" w:themeColor="text1" w:themeTint="A6"/>
                <w:sz w:val="20"/>
                <w:szCs w:val="20"/>
              </w:rPr>
            </w:pPr>
            <w:r w:rsidRPr="004A0F8B">
              <w:rPr>
                <w:color w:val="595959" w:themeColor="text1" w:themeTint="A6"/>
                <w:sz w:val="20"/>
                <w:szCs w:val="20"/>
              </w:rPr>
              <w:lastRenderedPageBreak/>
              <w:t>Bunge</w:t>
            </w:r>
          </w:p>
        </w:tc>
        <w:tc>
          <w:tcPr>
            <w:tcW w:w="3903" w:type="dxa"/>
          </w:tcPr>
          <w:p w:rsidR="00B507A9" w:rsidRPr="004A0F8B" w:rsidRDefault="00B507A9" w:rsidP="004A0F8B">
            <w:pPr>
              <w:pStyle w:val="Tabeltekst"/>
              <w:keepLines w:val="0"/>
              <w:widowControl w:val="0"/>
              <w:jc w:val="left"/>
              <w:cnfStyle w:val="000000000000"/>
              <w:rPr>
                <w:color w:val="595959" w:themeColor="text1" w:themeTint="A6"/>
              </w:rPr>
            </w:pPr>
            <w:r w:rsidRPr="004A0F8B">
              <w:rPr>
                <w:color w:val="595959" w:themeColor="text1" w:themeTint="A6"/>
              </w:rPr>
              <w:t>ING Life Insurance &amp; Annuity Company</w:t>
            </w:r>
          </w:p>
        </w:tc>
        <w:tc>
          <w:tcPr>
            <w:tcW w:w="852" w:type="dxa"/>
          </w:tcPr>
          <w:p w:rsidR="00B507A9" w:rsidRPr="004A0F8B" w:rsidRDefault="00B507A9" w:rsidP="004A0F8B">
            <w:pPr>
              <w:keepLines w:val="0"/>
              <w:widowControl w:val="0"/>
              <w:cnfStyle w:val="000000000000"/>
              <w:rPr>
                <w:color w:val="595959" w:themeColor="text1" w:themeTint="A6"/>
                <w:sz w:val="20"/>
                <w:szCs w:val="20"/>
              </w:rPr>
            </w:pPr>
            <w:r w:rsidRPr="004A0F8B">
              <w:rPr>
                <w:color w:val="595959" w:themeColor="text1" w:themeTint="A6"/>
                <w:sz w:val="20"/>
                <w:szCs w:val="20"/>
              </w:rPr>
              <w:t>0.49</w:t>
            </w:r>
          </w:p>
        </w:tc>
        <w:tc>
          <w:tcPr>
            <w:tcW w:w="1274" w:type="dxa"/>
          </w:tcPr>
          <w:p w:rsidR="00B507A9" w:rsidRPr="004A0F8B" w:rsidRDefault="00B507A9" w:rsidP="004A0F8B">
            <w:pPr>
              <w:keepLines w:val="0"/>
              <w:widowControl w:val="0"/>
              <w:cnfStyle w:val="000000000000"/>
              <w:rPr>
                <w:color w:val="595959" w:themeColor="text1" w:themeTint="A6"/>
                <w:sz w:val="20"/>
                <w:szCs w:val="20"/>
              </w:rPr>
            </w:pPr>
            <w:r w:rsidRPr="004A0F8B">
              <w:rPr>
                <w:color w:val="595959" w:themeColor="text1" w:themeTint="A6"/>
                <w:sz w:val="20"/>
                <w:szCs w:val="20"/>
              </w:rPr>
              <w:t>10.56</w:t>
            </w:r>
          </w:p>
        </w:tc>
        <w:tc>
          <w:tcPr>
            <w:tcW w:w="1274" w:type="dxa"/>
          </w:tcPr>
          <w:p w:rsidR="00B507A9" w:rsidRPr="004A0F8B" w:rsidRDefault="00B507A9"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B507A9" w:rsidRPr="004A0F8B" w:rsidRDefault="00B507A9" w:rsidP="004A0F8B">
            <w:pPr>
              <w:rPr>
                <w:color w:val="595959" w:themeColor="text1" w:themeTint="A6"/>
                <w:sz w:val="20"/>
                <w:szCs w:val="20"/>
              </w:rPr>
            </w:pPr>
            <w:r w:rsidRPr="004A0F8B">
              <w:rPr>
                <w:color w:val="595959" w:themeColor="text1" w:themeTint="A6"/>
                <w:sz w:val="20"/>
                <w:szCs w:val="20"/>
              </w:rPr>
              <w:t>Bunge</w:t>
            </w:r>
          </w:p>
        </w:tc>
        <w:tc>
          <w:tcPr>
            <w:tcW w:w="3903" w:type="dxa"/>
          </w:tcPr>
          <w:p w:rsidR="00B507A9" w:rsidRPr="004A0F8B" w:rsidRDefault="00B507A9" w:rsidP="004A0F8B">
            <w:pPr>
              <w:pStyle w:val="Tabeltekst"/>
              <w:keepLines w:val="0"/>
              <w:widowControl w:val="0"/>
              <w:jc w:val="left"/>
              <w:cnfStyle w:val="000000000000"/>
              <w:rPr>
                <w:color w:val="595959" w:themeColor="text1" w:themeTint="A6"/>
              </w:rPr>
            </w:pPr>
            <w:r w:rsidRPr="004A0F8B">
              <w:rPr>
                <w:color w:val="595959" w:themeColor="text1" w:themeTint="A6"/>
              </w:rPr>
              <w:t>ING USA Annuity and Life Insurance Company</w:t>
            </w:r>
          </w:p>
        </w:tc>
        <w:tc>
          <w:tcPr>
            <w:tcW w:w="852" w:type="dxa"/>
          </w:tcPr>
          <w:p w:rsidR="00B507A9" w:rsidRPr="004A0F8B" w:rsidRDefault="00B507A9" w:rsidP="004A0F8B">
            <w:pPr>
              <w:keepLines w:val="0"/>
              <w:widowControl w:val="0"/>
              <w:cnfStyle w:val="000000000000"/>
              <w:rPr>
                <w:color w:val="595959" w:themeColor="text1" w:themeTint="A6"/>
                <w:sz w:val="20"/>
                <w:szCs w:val="20"/>
              </w:rPr>
            </w:pPr>
            <w:r w:rsidRPr="004A0F8B">
              <w:rPr>
                <w:color w:val="595959" w:themeColor="text1" w:themeTint="A6"/>
                <w:sz w:val="20"/>
                <w:szCs w:val="20"/>
              </w:rPr>
              <w:t>0.14</w:t>
            </w:r>
          </w:p>
        </w:tc>
        <w:tc>
          <w:tcPr>
            <w:tcW w:w="1274" w:type="dxa"/>
          </w:tcPr>
          <w:p w:rsidR="00B507A9" w:rsidRPr="004A0F8B" w:rsidRDefault="00B507A9" w:rsidP="004A0F8B">
            <w:pPr>
              <w:keepLines w:val="0"/>
              <w:widowControl w:val="0"/>
              <w:cnfStyle w:val="000000000000"/>
              <w:rPr>
                <w:color w:val="595959" w:themeColor="text1" w:themeTint="A6"/>
                <w:sz w:val="20"/>
                <w:szCs w:val="20"/>
              </w:rPr>
            </w:pPr>
            <w:r w:rsidRPr="004A0F8B">
              <w:rPr>
                <w:color w:val="595959" w:themeColor="text1" w:themeTint="A6"/>
                <w:sz w:val="20"/>
                <w:szCs w:val="20"/>
              </w:rPr>
              <w:t>3.02</w:t>
            </w:r>
          </w:p>
        </w:tc>
        <w:tc>
          <w:tcPr>
            <w:tcW w:w="1274" w:type="dxa"/>
          </w:tcPr>
          <w:p w:rsidR="00B507A9" w:rsidRPr="004A0F8B" w:rsidRDefault="00B507A9"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EF0DA4" w:rsidRPr="004A0F8B" w:rsidRDefault="002578CF" w:rsidP="004A0F8B">
            <w:pPr>
              <w:pStyle w:val="Tabeltekst"/>
              <w:keepLines w:val="0"/>
              <w:widowControl w:val="0"/>
              <w:rPr>
                <w:color w:val="595959" w:themeColor="text1" w:themeTint="A6"/>
              </w:rPr>
            </w:pPr>
            <w:r w:rsidRPr="004A0F8B">
              <w:rPr>
                <w:color w:val="595959" w:themeColor="text1" w:themeTint="A6"/>
              </w:rPr>
              <w:t>Bunge</w:t>
            </w:r>
          </w:p>
        </w:tc>
        <w:tc>
          <w:tcPr>
            <w:tcW w:w="3903" w:type="dxa"/>
          </w:tcPr>
          <w:p w:rsidR="00EF0DA4" w:rsidRPr="004A0F8B" w:rsidRDefault="002578CF"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w:t>
            </w:r>
          </w:p>
        </w:tc>
        <w:tc>
          <w:tcPr>
            <w:tcW w:w="852" w:type="dxa"/>
          </w:tcPr>
          <w:p w:rsidR="00EF0DA4" w:rsidRPr="004A0F8B" w:rsidRDefault="002578CF" w:rsidP="004A0F8B">
            <w:pPr>
              <w:keepLines w:val="0"/>
              <w:widowControl w:val="0"/>
              <w:cnfStyle w:val="000000000000"/>
              <w:rPr>
                <w:color w:val="595959" w:themeColor="text1" w:themeTint="A6"/>
                <w:sz w:val="20"/>
                <w:szCs w:val="20"/>
              </w:rPr>
            </w:pPr>
            <w:r w:rsidRPr="004A0F8B">
              <w:rPr>
                <w:color w:val="595959" w:themeColor="text1" w:themeTint="A6"/>
                <w:sz w:val="20"/>
                <w:szCs w:val="20"/>
              </w:rPr>
              <w:t>0.11</w:t>
            </w:r>
          </w:p>
        </w:tc>
        <w:tc>
          <w:tcPr>
            <w:tcW w:w="1274" w:type="dxa"/>
          </w:tcPr>
          <w:p w:rsidR="00EF0DA4" w:rsidRPr="004A0F8B" w:rsidRDefault="002578CF" w:rsidP="004A0F8B">
            <w:pPr>
              <w:keepLines w:val="0"/>
              <w:widowControl w:val="0"/>
              <w:cnfStyle w:val="000000000000"/>
              <w:rPr>
                <w:color w:val="595959" w:themeColor="text1" w:themeTint="A6"/>
                <w:sz w:val="20"/>
                <w:szCs w:val="20"/>
              </w:rPr>
            </w:pPr>
            <w:r w:rsidRPr="004A0F8B">
              <w:rPr>
                <w:color w:val="595959" w:themeColor="text1" w:themeTint="A6"/>
                <w:sz w:val="20"/>
                <w:szCs w:val="20"/>
              </w:rPr>
              <w:t>2.26</w:t>
            </w:r>
          </w:p>
        </w:tc>
        <w:tc>
          <w:tcPr>
            <w:tcW w:w="1274" w:type="dxa"/>
          </w:tcPr>
          <w:p w:rsidR="00EF0DA4" w:rsidRPr="004A0F8B" w:rsidRDefault="002578CF"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1F6703" w:rsidRPr="004A0F8B" w:rsidRDefault="001F6703" w:rsidP="004A0F8B">
            <w:pPr>
              <w:pStyle w:val="Tabeltekst"/>
              <w:keepLines w:val="0"/>
              <w:widowControl w:val="0"/>
              <w:rPr>
                <w:color w:val="595959" w:themeColor="text1" w:themeTint="A6"/>
              </w:rPr>
            </w:pPr>
            <w:r w:rsidRPr="004A0F8B">
              <w:rPr>
                <w:color w:val="595959" w:themeColor="text1" w:themeTint="A6"/>
              </w:rPr>
              <w:t>Cargill</w:t>
            </w:r>
          </w:p>
        </w:tc>
        <w:tc>
          <w:tcPr>
            <w:tcW w:w="3903" w:type="dxa"/>
          </w:tcPr>
          <w:p w:rsidR="001F6703" w:rsidRPr="004A0F8B" w:rsidRDefault="001F6703" w:rsidP="004A0F8B">
            <w:pPr>
              <w:pStyle w:val="Tabeltekst"/>
              <w:keepLines w:val="0"/>
              <w:widowControl w:val="0"/>
              <w:jc w:val="left"/>
              <w:cnfStyle w:val="000000000000"/>
              <w:rPr>
                <w:color w:val="595959" w:themeColor="text1" w:themeTint="A6"/>
              </w:rPr>
            </w:pPr>
            <w:r w:rsidRPr="004A0F8B">
              <w:rPr>
                <w:color w:val="595959" w:themeColor="text1" w:themeTint="A6"/>
              </w:rPr>
              <w:t>ING Asset Management</w:t>
            </w:r>
          </w:p>
        </w:tc>
        <w:tc>
          <w:tcPr>
            <w:tcW w:w="852" w:type="dxa"/>
          </w:tcPr>
          <w:p w:rsidR="001F6703"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0.01</w:t>
            </w:r>
          </w:p>
        </w:tc>
        <w:tc>
          <w:tcPr>
            <w:tcW w:w="1274" w:type="dxa"/>
          </w:tcPr>
          <w:p w:rsidR="001F6703"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1.01</w:t>
            </w:r>
          </w:p>
        </w:tc>
        <w:tc>
          <w:tcPr>
            <w:tcW w:w="1274" w:type="dxa"/>
          </w:tcPr>
          <w:p w:rsidR="001F6703" w:rsidRPr="004A0F8B" w:rsidRDefault="001F6703"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1F6703" w:rsidRPr="004A0F8B" w:rsidRDefault="001F6703" w:rsidP="004A0F8B">
            <w:pPr>
              <w:rPr>
                <w:color w:val="595959" w:themeColor="text1" w:themeTint="A6"/>
                <w:sz w:val="20"/>
                <w:szCs w:val="20"/>
              </w:rPr>
            </w:pPr>
            <w:r w:rsidRPr="004A0F8B">
              <w:rPr>
                <w:color w:val="595959" w:themeColor="text1" w:themeTint="A6"/>
                <w:sz w:val="20"/>
                <w:szCs w:val="20"/>
              </w:rPr>
              <w:t>Cargill</w:t>
            </w:r>
          </w:p>
        </w:tc>
        <w:tc>
          <w:tcPr>
            <w:tcW w:w="3903" w:type="dxa"/>
          </w:tcPr>
          <w:p w:rsidR="001F6703" w:rsidRPr="004A0F8B" w:rsidRDefault="001F6703" w:rsidP="004A0F8B">
            <w:pPr>
              <w:pStyle w:val="Tabeltekst"/>
              <w:keepLines w:val="0"/>
              <w:widowControl w:val="0"/>
              <w:jc w:val="left"/>
              <w:cnfStyle w:val="000000000000"/>
              <w:rPr>
                <w:color w:val="595959" w:themeColor="text1" w:themeTint="A6"/>
              </w:rPr>
            </w:pPr>
            <w:r w:rsidRPr="004A0F8B">
              <w:rPr>
                <w:color w:val="595959" w:themeColor="text1" w:themeTint="A6"/>
              </w:rPr>
              <w:t>ING International Advisory SA</w:t>
            </w:r>
          </w:p>
        </w:tc>
        <w:tc>
          <w:tcPr>
            <w:tcW w:w="852" w:type="dxa"/>
          </w:tcPr>
          <w:p w:rsidR="001F6703"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0.07</w:t>
            </w:r>
          </w:p>
        </w:tc>
        <w:tc>
          <w:tcPr>
            <w:tcW w:w="1274" w:type="dxa"/>
          </w:tcPr>
          <w:p w:rsidR="001F6703"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5.28</w:t>
            </w:r>
          </w:p>
        </w:tc>
        <w:tc>
          <w:tcPr>
            <w:tcW w:w="1274" w:type="dxa"/>
          </w:tcPr>
          <w:p w:rsidR="001F6703" w:rsidRPr="004A0F8B" w:rsidRDefault="001F6703" w:rsidP="004A0F8B">
            <w:pPr>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4859D7" w:rsidRPr="004A0F8B" w:rsidRDefault="004859D7" w:rsidP="004A0F8B">
            <w:pPr>
              <w:rPr>
                <w:color w:val="595959" w:themeColor="text1" w:themeTint="A6"/>
                <w:sz w:val="20"/>
                <w:szCs w:val="20"/>
              </w:rPr>
            </w:pPr>
            <w:r w:rsidRPr="004A0F8B">
              <w:rPr>
                <w:color w:val="595959" w:themeColor="text1" w:themeTint="A6"/>
                <w:sz w:val="20"/>
                <w:szCs w:val="20"/>
              </w:rPr>
              <w:t>Cargill</w:t>
            </w:r>
          </w:p>
        </w:tc>
        <w:tc>
          <w:tcPr>
            <w:tcW w:w="3903" w:type="dxa"/>
          </w:tcPr>
          <w:p w:rsidR="004859D7" w:rsidRPr="004A0F8B" w:rsidRDefault="004859D7" w:rsidP="004A0F8B">
            <w:pPr>
              <w:pStyle w:val="Tabeltekst"/>
              <w:keepLines w:val="0"/>
              <w:widowControl w:val="0"/>
              <w:jc w:val="left"/>
              <w:cnfStyle w:val="000000000000"/>
              <w:rPr>
                <w:color w:val="595959" w:themeColor="text1" w:themeTint="A6"/>
              </w:rPr>
            </w:pPr>
            <w:r w:rsidRPr="004A0F8B">
              <w:rPr>
                <w:color w:val="595959" w:themeColor="text1" w:themeTint="A6"/>
              </w:rPr>
              <w:t>ING Investment Management NV</w:t>
            </w:r>
          </w:p>
        </w:tc>
        <w:tc>
          <w:tcPr>
            <w:tcW w:w="852" w:type="dxa"/>
          </w:tcPr>
          <w:p w:rsidR="004859D7" w:rsidRPr="004A0F8B" w:rsidRDefault="004859D7" w:rsidP="004A0F8B">
            <w:pPr>
              <w:keepLines w:val="0"/>
              <w:widowControl w:val="0"/>
              <w:cnfStyle w:val="000000000000"/>
              <w:rPr>
                <w:color w:val="595959" w:themeColor="text1" w:themeTint="A6"/>
                <w:sz w:val="20"/>
                <w:szCs w:val="20"/>
              </w:rPr>
            </w:pPr>
            <w:r w:rsidRPr="004A0F8B">
              <w:rPr>
                <w:color w:val="595959" w:themeColor="text1" w:themeTint="A6"/>
                <w:sz w:val="20"/>
                <w:szCs w:val="20"/>
              </w:rPr>
              <w:t>0.05</w:t>
            </w:r>
          </w:p>
        </w:tc>
        <w:tc>
          <w:tcPr>
            <w:tcW w:w="1274" w:type="dxa"/>
          </w:tcPr>
          <w:p w:rsidR="004859D7" w:rsidRPr="004A0F8B" w:rsidRDefault="004859D7" w:rsidP="004A0F8B">
            <w:pPr>
              <w:keepLines w:val="0"/>
              <w:widowControl w:val="0"/>
              <w:cnfStyle w:val="000000000000"/>
              <w:rPr>
                <w:color w:val="595959" w:themeColor="text1" w:themeTint="A6"/>
                <w:sz w:val="20"/>
                <w:szCs w:val="20"/>
              </w:rPr>
            </w:pPr>
            <w:r w:rsidRPr="004A0F8B">
              <w:rPr>
                <w:color w:val="595959" w:themeColor="text1" w:themeTint="A6"/>
                <w:sz w:val="20"/>
                <w:szCs w:val="20"/>
              </w:rPr>
              <w:t>3.76</w:t>
            </w:r>
          </w:p>
        </w:tc>
        <w:tc>
          <w:tcPr>
            <w:tcW w:w="1274" w:type="dxa"/>
          </w:tcPr>
          <w:p w:rsidR="004859D7"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31-08-2012</w:t>
            </w:r>
          </w:p>
        </w:tc>
      </w:tr>
      <w:tr w:rsidR="004A0F8B" w:rsidRPr="004A0F8B" w:rsidTr="004A0F8B">
        <w:tc>
          <w:tcPr>
            <w:cnfStyle w:val="001000000000"/>
            <w:tcW w:w="1636" w:type="dxa"/>
          </w:tcPr>
          <w:p w:rsidR="004859D7" w:rsidRPr="004A0F8B" w:rsidRDefault="004859D7" w:rsidP="004A0F8B">
            <w:pPr>
              <w:rPr>
                <w:color w:val="595959" w:themeColor="text1" w:themeTint="A6"/>
                <w:sz w:val="20"/>
                <w:szCs w:val="20"/>
              </w:rPr>
            </w:pPr>
            <w:r w:rsidRPr="004A0F8B">
              <w:rPr>
                <w:color w:val="595959" w:themeColor="text1" w:themeTint="A6"/>
                <w:sz w:val="20"/>
                <w:szCs w:val="20"/>
              </w:rPr>
              <w:t>Cargill</w:t>
            </w:r>
          </w:p>
        </w:tc>
        <w:tc>
          <w:tcPr>
            <w:tcW w:w="3903" w:type="dxa"/>
          </w:tcPr>
          <w:p w:rsidR="004859D7" w:rsidRPr="004A0F8B" w:rsidRDefault="004859D7" w:rsidP="004A0F8B">
            <w:pPr>
              <w:pStyle w:val="Tabeltekst"/>
              <w:keepLines w:val="0"/>
              <w:widowControl w:val="0"/>
              <w:jc w:val="left"/>
              <w:cnfStyle w:val="000000000000"/>
              <w:rPr>
                <w:color w:val="595959" w:themeColor="text1" w:themeTint="A6"/>
              </w:rPr>
            </w:pPr>
            <w:r w:rsidRPr="004A0F8B">
              <w:rPr>
                <w:color w:val="595959" w:themeColor="text1" w:themeTint="A6"/>
              </w:rPr>
              <w:t>ING Life Insurance &amp; Annuity Company</w:t>
            </w:r>
          </w:p>
        </w:tc>
        <w:tc>
          <w:tcPr>
            <w:tcW w:w="852" w:type="dxa"/>
          </w:tcPr>
          <w:p w:rsidR="004859D7" w:rsidRPr="004A0F8B" w:rsidRDefault="004859D7" w:rsidP="004A0F8B">
            <w:pPr>
              <w:keepLines w:val="0"/>
              <w:widowControl w:val="0"/>
              <w:cnfStyle w:val="000000000000"/>
              <w:rPr>
                <w:color w:val="595959" w:themeColor="text1" w:themeTint="A6"/>
                <w:sz w:val="20"/>
                <w:szCs w:val="20"/>
              </w:rPr>
            </w:pPr>
            <w:r w:rsidRPr="004A0F8B">
              <w:rPr>
                <w:color w:val="595959" w:themeColor="text1" w:themeTint="A6"/>
                <w:sz w:val="20"/>
                <w:szCs w:val="20"/>
              </w:rPr>
              <w:t>0.15</w:t>
            </w:r>
          </w:p>
        </w:tc>
        <w:tc>
          <w:tcPr>
            <w:tcW w:w="1274" w:type="dxa"/>
          </w:tcPr>
          <w:p w:rsidR="004859D7" w:rsidRPr="004A0F8B" w:rsidRDefault="004859D7" w:rsidP="004A0F8B">
            <w:pPr>
              <w:keepLines w:val="0"/>
              <w:widowControl w:val="0"/>
              <w:cnfStyle w:val="000000000000"/>
              <w:rPr>
                <w:color w:val="595959" w:themeColor="text1" w:themeTint="A6"/>
                <w:sz w:val="20"/>
                <w:szCs w:val="20"/>
              </w:rPr>
            </w:pPr>
            <w:r w:rsidRPr="004A0F8B">
              <w:rPr>
                <w:color w:val="595959" w:themeColor="text1" w:themeTint="A6"/>
                <w:sz w:val="20"/>
                <w:szCs w:val="20"/>
              </w:rPr>
              <w:t>11.41</w:t>
            </w:r>
          </w:p>
        </w:tc>
        <w:tc>
          <w:tcPr>
            <w:tcW w:w="1274" w:type="dxa"/>
          </w:tcPr>
          <w:p w:rsidR="004859D7"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4859D7" w:rsidRPr="004A0F8B" w:rsidRDefault="001F6703" w:rsidP="004A0F8B">
            <w:pPr>
              <w:rPr>
                <w:color w:val="595959" w:themeColor="text1" w:themeTint="A6"/>
                <w:sz w:val="20"/>
                <w:szCs w:val="20"/>
              </w:rPr>
            </w:pPr>
            <w:r w:rsidRPr="004A0F8B">
              <w:rPr>
                <w:color w:val="595959" w:themeColor="text1" w:themeTint="A6"/>
                <w:sz w:val="20"/>
                <w:szCs w:val="20"/>
              </w:rPr>
              <w:t>Cargill</w:t>
            </w:r>
          </w:p>
        </w:tc>
        <w:tc>
          <w:tcPr>
            <w:tcW w:w="3903" w:type="dxa"/>
          </w:tcPr>
          <w:p w:rsidR="004859D7" w:rsidRPr="004A0F8B" w:rsidRDefault="001F6703" w:rsidP="004A0F8B">
            <w:pPr>
              <w:pStyle w:val="Tabeltekst"/>
              <w:keepLines w:val="0"/>
              <w:widowControl w:val="0"/>
              <w:jc w:val="left"/>
              <w:cnfStyle w:val="000000000000"/>
              <w:rPr>
                <w:color w:val="595959" w:themeColor="text1" w:themeTint="A6"/>
              </w:rPr>
            </w:pPr>
            <w:r w:rsidRPr="004A0F8B">
              <w:rPr>
                <w:color w:val="595959" w:themeColor="text1" w:themeTint="A6"/>
              </w:rPr>
              <w:t>Reliastar Life Insurance Company</w:t>
            </w:r>
          </w:p>
        </w:tc>
        <w:tc>
          <w:tcPr>
            <w:tcW w:w="852" w:type="dxa"/>
          </w:tcPr>
          <w:p w:rsidR="004859D7"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0.15</w:t>
            </w:r>
          </w:p>
        </w:tc>
        <w:tc>
          <w:tcPr>
            <w:tcW w:w="1274" w:type="dxa"/>
          </w:tcPr>
          <w:p w:rsidR="004859D7"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10.89</w:t>
            </w:r>
          </w:p>
        </w:tc>
        <w:tc>
          <w:tcPr>
            <w:tcW w:w="1274" w:type="dxa"/>
          </w:tcPr>
          <w:p w:rsidR="004859D7" w:rsidRPr="004A0F8B" w:rsidRDefault="001F6703"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4859D7" w:rsidRPr="004A0F8B" w:rsidRDefault="00EB2140" w:rsidP="004A0F8B">
            <w:pPr>
              <w:pStyle w:val="Tabeltekst"/>
              <w:keepLines w:val="0"/>
              <w:widowControl w:val="0"/>
              <w:rPr>
                <w:color w:val="595959" w:themeColor="text1" w:themeTint="A6"/>
              </w:rPr>
            </w:pPr>
            <w:r w:rsidRPr="004A0F8B">
              <w:rPr>
                <w:color w:val="595959" w:themeColor="text1" w:themeTint="A6"/>
              </w:rPr>
              <w:t>Olam International</w:t>
            </w:r>
          </w:p>
        </w:tc>
        <w:tc>
          <w:tcPr>
            <w:tcW w:w="3903" w:type="dxa"/>
          </w:tcPr>
          <w:p w:rsidR="004859D7" w:rsidRPr="004A0F8B" w:rsidRDefault="00EB2140" w:rsidP="004A0F8B">
            <w:pPr>
              <w:pStyle w:val="Tabeltekst"/>
              <w:keepLines w:val="0"/>
              <w:widowControl w:val="0"/>
              <w:jc w:val="left"/>
              <w:cnfStyle w:val="000000000000"/>
              <w:rPr>
                <w:color w:val="595959" w:themeColor="text1" w:themeTint="A6"/>
              </w:rPr>
            </w:pPr>
            <w:r w:rsidRPr="004A0F8B">
              <w:rPr>
                <w:color w:val="595959" w:themeColor="text1" w:themeTint="A6"/>
              </w:rPr>
              <w:t>ING International Advisory SA</w:t>
            </w:r>
          </w:p>
        </w:tc>
        <w:tc>
          <w:tcPr>
            <w:tcW w:w="852" w:type="dxa"/>
          </w:tcPr>
          <w:p w:rsidR="004859D7" w:rsidRPr="004A0F8B" w:rsidRDefault="00EB2140" w:rsidP="004A0F8B">
            <w:pPr>
              <w:keepLines w:val="0"/>
              <w:widowControl w:val="0"/>
              <w:cnfStyle w:val="000000000000"/>
              <w:rPr>
                <w:color w:val="595959" w:themeColor="text1" w:themeTint="A6"/>
                <w:sz w:val="20"/>
                <w:szCs w:val="20"/>
              </w:rPr>
            </w:pPr>
            <w:r w:rsidRPr="004A0F8B">
              <w:rPr>
                <w:color w:val="595959" w:themeColor="text1" w:themeTint="A6"/>
                <w:sz w:val="20"/>
                <w:szCs w:val="20"/>
              </w:rPr>
              <w:t>0.05</w:t>
            </w:r>
          </w:p>
        </w:tc>
        <w:tc>
          <w:tcPr>
            <w:tcW w:w="1274" w:type="dxa"/>
          </w:tcPr>
          <w:p w:rsidR="004859D7" w:rsidRPr="004A0F8B" w:rsidRDefault="00EB2140" w:rsidP="004A0F8B">
            <w:pPr>
              <w:keepLines w:val="0"/>
              <w:widowControl w:val="0"/>
              <w:cnfStyle w:val="000000000000"/>
              <w:rPr>
                <w:color w:val="595959" w:themeColor="text1" w:themeTint="A6"/>
                <w:sz w:val="20"/>
                <w:szCs w:val="20"/>
              </w:rPr>
            </w:pPr>
            <w:r w:rsidRPr="004A0F8B">
              <w:rPr>
                <w:color w:val="595959" w:themeColor="text1" w:themeTint="A6"/>
                <w:sz w:val="20"/>
                <w:szCs w:val="20"/>
              </w:rPr>
              <w:t>1.21</w:t>
            </w:r>
          </w:p>
        </w:tc>
        <w:tc>
          <w:tcPr>
            <w:tcW w:w="1274" w:type="dxa"/>
          </w:tcPr>
          <w:p w:rsidR="004859D7" w:rsidRPr="004A0F8B" w:rsidRDefault="00EB2140"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r w:rsidR="004A0F8B" w:rsidRPr="004A0F8B" w:rsidTr="004A0F8B">
        <w:tc>
          <w:tcPr>
            <w:cnfStyle w:val="001000000000"/>
            <w:tcW w:w="1636" w:type="dxa"/>
          </w:tcPr>
          <w:p w:rsidR="00B42D6B" w:rsidRPr="004A0F8B" w:rsidRDefault="00B42D6B" w:rsidP="004A0F8B">
            <w:pPr>
              <w:rPr>
                <w:color w:val="595959" w:themeColor="text1" w:themeTint="A6"/>
                <w:sz w:val="20"/>
                <w:szCs w:val="20"/>
              </w:rPr>
            </w:pPr>
            <w:r w:rsidRPr="004A0F8B">
              <w:rPr>
                <w:color w:val="595959" w:themeColor="text1" w:themeTint="A6"/>
                <w:sz w:val="20"/>
                <w:szCs w:val="20"/>
              </w:rPr>
              <w:t>Sime Darby</w:t>
            </w:r>
          </w:p>
        </w:tc>
        <w:tc>
          <w:tcPr>
            <w:tcW w:w="3903" w:type="dxa"/>
          </w:tcPr>
          <w:p w:rsidR="00B42D6B" w:rsidRPr="004A0F8B" w:rsidRDefault="00B42D6B" w:rsidP="004A0F8B">
            <w:pPr>
              <w:pStyle w:val="Tabeltekst"/>
              <w:keepLines w:val="0"/>
              <w:widowControl w:val="0"/>
              <w:jc w:val="left"/>
              <w:cnfStyle w:val="000000000000"/>
              <w:rPr>
                <w:color w:val="595959" w:themeColor="text1" w:themeTint="A6"/>
              </w:rPr>
            </w:pPr>
            <w:r w:rsidRPr="004A0F8B">
              <w:rPr>
                <w:color w:val="595959" w:themeColor="text1" w:themeTint="A6"/>
              </w:rPr>
              <w:t>ING International Advisory SA</w:t>
            </w:r>
          </w:p>
        </w:tc>
        <w:tc>
          <w:tcPr>
            <w:tcW w:w="852" w:type="dxa"/>
          </w:tcPr>
          <w:p w:rsidR="00B42D6B" w:rsidRPr="004A0F8B" w:rsidRDefault="00B42D6B" w:rsidP="004A0F8B">
            <w:pPr>
              <w:keepLines w:val="0"/>
              <w:widowControl w:val="0"/>
              <w:cnfStyle w:val="000000000000"/>
              <w:rPr>
                <w:color w:val="595959" w:themeColor="text1" w:themeTint="A6"/>
                <w:sz w:val="20"/>
                <w:szCs w:val="20"/>
              </w:rPr>
            </w:pPr>
            <w:r w:rsidRPr="004A0F8B">
              <w:rPr>
                <w:color w:val="595959" w:themeColor="text1" w:themeTint="A6"/>
                <w:sz w:val="20"/>
                <w:szCs w:val="20"/>
              </w:rPr>
              <w:t>0.09</w:t>
            </w:r>
          </w:p>
        </w:tc>
        <w:tc>
          <w:tcPr>
            <w:tcW w:w="1274" w:type="dxa"/>
          </w:tcPr>
          <w:p w:rsidR="00B42D6B" w:rsidRPr="004A0F8B" w:rsidRDefault="00B42D6B" w:rsidP="004A0F8B">
            <w:pPr>
              <w:keepLines w:val="0"/>
              <w:widowControl w:val="0"/>
              <w:cnfStyle w:val="000000000000"/>
              <w:rPr>
                <w:color w:val="595959" w:themeColor="text1" w:themeTint="A6"/>
                <w:sz w:val="20"/>
                <w:szCs w:val="20"/>
              </w:rPr>
            </w:pPr>
            <w:r w:rsidRPr="004A0F8B">
              <w:rPr>
                <w:color w:val="595959" w:themeColor="text1" w:themeTint="A6"/>
                <w:sz w:val="20"/>
                <w:szCs w:val="20"/>
              </w:rPr>
              <w:t>1.09</w:t>
            </w:r>
          </w:p>
        </w:tc>
        <w:tc>
          <w:tcPr>
            <w:tcW w:w="1274" w:type="dxa"/>
          </w:tcPr>
          <w:p w:rsidR="00B42D6B" w:rsidRPr="004A0F8B" w:rsidRDefault="00B42D6B" w:rsidP="004A0F8B">
            <w:pPr>
              <w:keepLines w:val="0"/>
              <w:widowControl w:val="0"/>
              <w:cnfStyle w:val="000000000000"/>
              <w:rPr>
                <w:color w:val="595959" w:themeColor="text1" w:themeTint="A6"/>
                <w:sz w:val="20"/>
                <w:szCs w:val="20"/>
              </w:rPr>
            </w:pPr>
            <w:r w:rsidRPr="004A0F8B">
              <w:rPr>
                <w:color w:val="595959" w:themeColor="text1" w:themeTint="A6"/>
                <w:sz w:val="20"/>
                <w:szCs w:val="20"/>
              </w:rPr>
              <w:t>31-03-2013</w:t>
            </w:r>
          </w:p>
        </w:tc>
      </w:tr>
    </w:tbl>
    <w:p w:rsidR="009C7232" w:rsidRPr="00144FE5" w:rsidRDefault="009C7232" w:rsidP="00F778C7">
      <w:pPr>
        <w:pStyle w:val="Tabelbron"/>
        <w:keepLines w:val="0"/>
        <w:widowControl w:val="0"/>
        <w:rPr>
          <w:lang w:val="en-US"/>
        </w:rPr>
      </w:pPr>
      <w:r w:rsidRPr="00144FE5">
        <w:rPr>
          <w:lang w:val="en-US"/>
        </w:rPr>
        <w:t xml:space="preserve">Source: </w:t>
      </w:r>
      <w:r w:rsidRPr="00031898">
        <w:t xml:space="preserve">Bloomberg Financial Database, “Bond Holdings”, </w:t>
      </w:r>
      <w:r w:rsidRPr="00031898">
        <w:rPr>
          <w:i/>
        </w:rPr>
        <w:t>Bloomberg Financial Database</w:t>
      </w:r>
      <w:r w:rsidRPr="00031898">
        <w:t xml:space="preserve">, </w:t>
      </w:r>
      <w:r>
        <w:t>Viewed in August</w:t>
      </w:r>
      <w:r w:rsidRPr="00031898">
        <w:t xml:space="preserve"> 201</w:t>
      </w:r>
      <w:r>
        <w:t>3</w:t>
      </w:r>
      <w:r w:rsidRPr="00144FE5">
        <w:rPr>
          <w:lang w:val="en-US"/>
        </w:rPr>
        <w:t>.</w:t>
      </w:r>
    </w:p>
    <w:p w:rsidR="00985FAF" w:rsidRDefault="00985FAF" w:rsidP="00985FAF">
      <w:pPr>
        <w:rPr>
          <w:lang w:val="en-US"/>
        </w:rPr>
      </w:pPr>
    </w:p>
    <w:p w:rsidR="00985FAF" w:rsidRDefault="00985FAF" w:rsidP="00985FAF">
      <w:pPr>
        <w:pStyle w:val="Heading2"/>
        <w:rPr>
          <w:lang w:val="en-US"/>
        </w:rPr>
      </w:pPr>
      <w:bookmarkStart w:id="41" w:name="_Toc365554353"/>
      <w:r>
        <w:rPr>
          <w:lang w:val="en-US"/>
        </w:rPr>
        <w:t>Bond issuances</w:t>
      </w:r>
      <w:bookmarkEnd w:id="41"/>
    </w:p>
    <w:p w:rsidR="00A353CE" w:rsidRPr="00C25ADD" w:rsidRDefault="00A353CE" w:rsidP="00A353CE">
      <w:r w:rsidRPr="00C25ADD">
        <w:t xml:space="preserve">Since </w:t>
      </w:r>
      <w:r>
        <w:t>1 July 2010</w:t>
      </w:r>
      <w:r w:rsidRPr="00C25ADD">
        <w:t xml:space="preserve"> </w:t>
      </w:r>
      <w:r>
        <w:t>ING</w:t>
      </w:r>
      <w:r w:rsidRPr="00C25ADD">
        <w:t xml:space="preserve"> assisted </w:t>
      </w:r>
      <w:r>
        <w:t xml:space="preserve">food companies </w:t>
      </w:r>
      <w:r w:rsidRPr="00C25ADD">
        <w:t>with the following bond issuances:</w:t>
      </w:r>
    </w:p>
    <w:p w:rsidR="00985FAF" w:rsidRDefault="00985FAF" w:rsidP="00985FAF"/>
    <w:p w:rsidR="00E21F41" w:rsidRPr="00E21F41" w:rsidRDefault="00E21F41" w:rsidP="00F62A16">
      <w:pPr>
        <w:pStyle w:val="Opsomming1"/>
      </w:pPr>
      <w:r w:rsidRPr="00E21F41">
        <w:t>Coca-Cola:</w:t>
      </w:r>
    </w:p>
    <w:p w:rsidR="00E21F41" w:rsidRPr="00C25ADD" w:rsidRDefault="00E21F41" w:rsidP="00F62A16">
      <w:pPr>
        <w:pStyle w:val="Opsomming3"/>
      </w:pPr>
      <w:r w:rsidRPr="00C25ADD">
        <w:t xml:space="preserve">In </w:t>
      </w:r>
      <w:r>
        <w:t>February</w:t>
      </w:r>
      <w:r w:rsidRPr="00C25ADD">
        <w:t xml:space="preserve"> </w:t>
      </w:r>
      <w:r w:rsidRPr="00E02F5C">
        <w:t>2013</w:t>
      </w:r>
      <w:r>
        <w:t xml:space="preserve"> ING co-managed a bond</w:t>
      </w:r>
      <w:r w:rsidRPr="00C25ADD">
        <w:t xml:space="preserve"> issuance for </w:t>
      </w:r>
      <w:r>
        <w:t>Coca-Cola with a total value of US$ 2,500 million (</w:t>
      </w:r>
      <w:r w:rsidRPr="00C25ADD">
        <w:t xml:space="preserve">€ </w:t>
      </w:r>
      <w:r>
        <w:t xml:space="preserve">1,911 million). </w:t>
      </w:r>
      <w:r w:rsidRPr="00C25ADD">
        <w:t xml:space="preserve">It was initiated for general corporate purposes. </w:t>
      </w:r>
      <w:r w:rsidR="009623EF" w:rsidRPr="00C25ADD">
        <w:t>The bond</w:t>
      </w:r>
      <w:r w:rsidR="009623EF">
        <w:t xml:space="preserve"> issuance</w:t>
      </w:r>
      <w:r w:rsidR="009623EF" w:rsidRPr="00C25ADD">
        <w:t xml:space="preserve"> was divided into </w:t>
      </w:r>
      <w:r w:rsidR="009623EF">
        <w:t>three</w:t>
      </w:r>
      <w:r w:rsidR="009623EF" w:rsidRPr="00C25ADD">
        <w:t xml:space="preserve"> tranches</w:t>
      </w:r>
      <w:r w:rsidR="009623EF">
        <w:t>: a five-year 1.15% bond with a total value of US$ 1,250 million</w:t>
      </w:r>
      <w:r w:rsidR="009623EF" w:rsidRPr="00C25ADD">
        <w:t xml:space="preserve">, </w:t>
      </w:r>
      <w:r w:rsidR="009623EF">
        <w:t>a ten-year 2.5% bond with a total value of US$ 750 million and a two-year floating rate bond with a total value of US$ 500 million</w:t>
      </w:r>
      <w:r>
        <w:t>.</w:t>
      </w:r>
      <w:r w:rsidRPr="00C25ADD">
        <w:t xml:space="preserve"> </w:t>
      </w:r>
      <w:r>
        <w:t>The banking syndicate consisted of seven banks. ING’</w:t>
      </w:r>
      <w:r w:rsidRPr="00C25ADD">
        <w:t xml:space="preserve">s share </w:t>
      </w:r>
      <w:r>
        <w:t>is estimated at</w:t>
      </w:r>
      <w:r w:rsidR="009623EF">
        <w:t xml:space="preserve"> US$ 208 million (</w:t>
      </w:r>
      <w:r w:rsidRPr="00C25ADD">
        <w:t xml:space="preserve">€ </w:t>
      </w:r>
      <w:r w:rsidR="009623EF">
        <w:t>159</w:t>
      </w:r>
      <w:r>
        <w:t xml:space="preserve"> million</w:t>
      </w:r>
      <w:r w:rsidR="009623EF">
        <w:t>)</w:t>
      </w:r>
      <w:r>
        <w:t>.</w:t>
      </w:r>
      <w:r w:rsidRPr="00031898">
        <w:rPr>
          <w:rStyle w:val="EndnoteReference"/>
        </w:rPr>
        <w:endnoteReference w:id="8"/>
      </w:r>
      <w:r w:rsidRPr="00C25ADD">
        <w:t xml:space="preserve"> </w:t>
      </w:r>
    </w:p>
    <w:p w:rsidR="00E21F41" w:rsidRDefault="00E21F41" w:rsidP="00985FAF"/>
    <w:p w:rsidR="00A353CE" w:rsidRPr="00A353CE" w:rsidRDefault="00A353CE" w:rsidP="00F62A16">
      <w:pPr>
        <w:pStyle w:val="Opsomming1"/>
      </w:pPr>
      <w:r w:rsidRPr="00A353CE">
        <w:t>Danone:</w:t>
      </w:r>
    </w:p>
    <w:p w:rsidR="00E405C0" w:rsidRPr="00C25ADD" w:rsidRDefault="00E405C0" w:rsidP="00F62A16">
      <w:pPr>
        <w:pStyle w:val="Opsomming3"/>
      </w:pPr>
      <w:r w:rsidRPr="00C25ADD">
        <w:t xml:space="preserve">In </w:t>
      </w:r>
      <w:r>
        <w:t>September</w:t>
      </w:r>
      <w:r w:rsidRPr="00C25ADD">
        <w:t xml:space="preserve"> 20</w:t>
      </w:r>
      <w:r>
        <w:t xml:space="preserve">11 ING </w:t>
      </w:r>
      <w:r w:rsidR="00451ABC">
        <w:t>co-managed a bond</w:t>
      </w:r>
      <w:r w:rsidRPr="00C25ADD">
        <w:t xml:space="preserve"> issuance for </w:t>
      </w:r>
      <w:r>
        <w:t>Danone</w:t>
      </w:r>
      <w:r w:rsidR="00B95F7C">
        <w:t xml:space="preserve"> with a</w:t>
      </w:r>
      <w:r w:rsidR="00451ABC">
        <w:t xml:space="preserve"> total value of </w:t>
      </w:r>
      <w:r w:rsidRPr="00C25ADD">
        <w:t>€ 5</w:t>
      </w:r>
      <w:r w:rsidR="00D51A67">
        <w:t>00 million</w:t>
      </w:r>
      <w:r w:rsidR="00451ABC">
        <w:t xml:space="preserve">. </w:t>
      </w:r>
      <w:r w:rsidRPr="00C25ADD">
        <w:t xml:space="preserve">It was initiated for general corporate purposes. </w:t>
      </w:r>
      <w:r w:rsidR="00451ABC" w:rsidRPr="00C25ADD">
        <w:t xml:space="preserve">The bonds mature in </w:t>
      </w:r>
      <w:r w:rsidR="00451ABC">
        <w:t xml:space="preserve">September 2016 </w:t>
      </w:r>
      <w:r w:rsidR="00451ABC" w:rsidRPr="00C25ADD">
        <w:t xml:space="preserve">at a </w:t>
      </w:r>
      <w:r w:rsidR="00451ABC">
        <w:t xml:space="preserve">fixed </w:t>
      </w:r>
      <w:r w:rsidR="00451ABC" w:rsidRPr="00C25ADD">
        <w:t xml:space="preserve">rate of </w:t>
      </w:r>
      <w:r w:rsidR="00451ABC">
        <w:t>2.5</w:t>
      </w:r>
      <w:r w:rsidR="00451ABC" w:rsidRPr="00C25ADD">
        <w:t>%</w:t>
      </w:r>
      <w:r w:rsidR="00451ABC">
        <w:t>.</w:t>
      </w:r>
      <w:r w:rsidRPr="00C25ADD">
        <w:t xml:space="preserve"> </w:t>
      </w:r>
      <w:r w:rsidR="00D51A67">
        <w:t xml:space="preserve">The banking syndicate consisted of </w:t>
      </w:r>
      <w:r w:rsidR="00B95F7C">
        <w:t>seven</w:t>
      </w:r>
      <w:r w:rsidR="00D51A67">
        <w:t xml:space="preserve"> banks. ING’</w:t>
      </w:r>
      <w:r w:rsidRPr="00C25ADD">
        <w:t xml:space="preserve">s share </w:t>
      </w:r>
      <w:r w:rsidR="00D51A67">
        <w:t>is estimated at</w:t>
      </w:r>
      <w:r w:rsidRPr="00C25ADD">
        <w:t xml:space="preserve"> € </w:t>
      </w:r>
      <w:r w:rsidR="00D51A67">
        <w:t>71 million.</w:t>
      </w:r>
      <w:r w:rsidR="00D51A67" w:rsidRPr="00031898">
        <w:rPr>
          <w:rStyle w:val="EndnoteReference"/>
        </w:rPr>
        <w:endnoteReference w:id="9"/>
      </w:r>
      <w:r w:rsidRPr="00C25ADD">
        <w:t xml:space="preserve"> </w:t>
      </w:r>
    </w:p>
    <w:p w:rsidR="00A353CE" w:rsidRDefault="00A353CE" w:rsidP="00985FAF"/>
    <w:p w:rsidR="00451ABC" w:rsidRDefault="00451ABC" w:rsidP="00F62A16">
      <w:pPr>
        <w:pStyle w:val="Opsomming3"/>
      </w:pPr>
      <w:r w:rsidRPr="00C25ADD">
        <w:t xml:space="preserve">In </w:t>
      </w:r>
      <w:r>
        <w:t>March</w:t>
      </w:r>
      <w:r w:rsidRPr="00C25ADD">
        <w:t xml:space="preserve"> 20</w:t>
      </w:r>
      <w:r>
        <w:t>13 ING co-</w:t>
      </w:r>
      <w:r w:rsidRPr="00E02F5C">
        <w:t>managed</w:t>
      </w:r>
      <w:r>
        <w:t xml:space="preserve"> a bond</w:t>
      </w:r>
      <w:r w:rsidRPr="00C25ADD">
        <w:t xml:space="preserve"> issuance for </w:t>
      </w:r>
      <w:r>
        <w:t>Danone</w:t>
      </w:r>
      <w:r w:rsidR="00B95F7C">
        <w:t xml:space="preserve"> with a</w:t>
      </w:r>
      <w:r>
        <w:t xml:space="preserve"> total value of </w:t>
      </w:r>
      <w:r w:rsidRPr="00C25ADD">
        <w:t xml:space="preserve">€ </w:t>
      </w:r>
      <w:r w:rsidR="00B95F7C">
        <w:t>750</w:t>
      </w:r>
      <w:r>
        <w:t xml:space="preserve"> million. </w:t>
      </w:r>
      <w:r w:rsidRPr="00C25ADD">
        <w:t xml:space="preserve">It was initiated for general corporate purposes. The bonds mature in </w:t>
      </w:r>
      <w:r w:rsidR="00B95F7C">
        <w:t>June</w:t>
      </w:r>
      <w:r>
        <w:t xml:space="preserve"> 201</w:t>
      </w:r>
      <w:r w:rsidR="00B95F7C">
        <w:t>8</w:t>
      </w:r>
      <w:r>
        <w:t xml:space="preserve"> </w:t>
      </w:r>
      <w:r w:rsidRPr="00C25ADD">
        <w:t xml:space="preserve">at a </w:t>
      </w:r>
      <w:r>
        <w:t xml:space="preserve">fixed </w:t>
      </w:r>
      <w:r w:rsidRPr="00C25ADD">
        <w:t xml:space="preserve">rate of </w:t>
      </w:r>
      <w:r w:rsidR="00B95F7C">
        <w:t>1</w:t>
      </w:r>
      <w:r>
        <w:t>.</w:t>
      </w:r>
      <w:r w:rsidR="00B95F7C">
        <w:t>25</w:t>
      </w:r>
      <w:r w:rsidRPr="00C25ADD">
        <w:t>%</w:t>
      </w:r>
      <w:r>
        <w:t>.</w:t>
      </w:r>
      <w:r w:rsidRPr="00C25ADD">
        <w:t xml:space="preserve"> </w:t>
      </w:r>
      <w:r>
        <w:t xml:space="preserve">The banking syndicate consisted of </w:t>
      </w:r>
      <w:r w:rsidR="00B95F7C">
        <w:t>six</w:t>
      </w:r>
      <w:r>
        <w:t xml:space="preserve"> banks. ING’</w:t>
      </w:r>
      <w:r w:rsidRPr="00C25ADD">
        <w:t xml:space="preserve">s share </w:t>
      </w:r>
      <w:r>
        <w:t>is estimated at</w:t>
      </w:r>
      <w:r w:rsidRPr="00C25ADD">
        <w:t xml:space="preserve"> € </w:t>
      </w:r>
      <w:r w:rsidR="00B95F7C">
        <w:t>125</w:t>
      </w:r>
      <w:r>
        <w:t xml:space="preserve"> million.</w:t>
      </w:r>
      <w:r w:rsidRPr="00031898">
        <w:rPr>
          <w:rStyle w:val="EndnoteReference"/>
        </w:rPr>
        <w:endnoteReference w:id="10"/>
      </w:r>
      <w:r w:rsidRPr="00C25ADD">
        <w:t xml:space="preserve"> </w:t>
      </w:r>
    </w:p>
    <w:p w:rsidR="00B95F7C" w:rsidRDefault="00B95F7C" w:rsidP="00B95F7C">
      <w:pPr>
        <w:pStyle w:val="ListParagraph"/>
      </w:pPr>
    </w:p>
    <w:p w:rsidR="00B95F7C" w:rsidRPr="00F62A16" w:rsidRDefault="00B95F7C" w:rsidP="00F62A16">
      <w:pPr>
        <w:pStyle w:val="Opsomming3"/>
      </w:pPr>
      <w:r w:rsidRPr="00F62A16">
        <w:t>In June 2013 ING co-managed a bond issuance for Danone with a total value of € 500 million. It was initiated for general corporate purposes. The bonds mature in June 2023 at a fixed rate of 2.6%. The banking syndicate consisted of five banks. ING’s share is estimated at € 100 million.</w:t>
      </w:r>
      <w:r w:rsidRPr="00307F09">
        <w:rPr>
          <w:rStyle w:val="EndnoteReference"/>
          <w:rFonts w:cs="Arial"/>
        </w:rPr>
        <w:endnoteReference w:id="11"/>
      </w:r>
      <w:r w:rsidRPr="00F62A16">
        <w:t xml:space="preserve"> </w:t>
      </w:r>
    </w:p>
    <w:p w:rsidR="00451ABC" w:rsidRDefault="00451ABC" w:rsidP="00985FAF"/>
    <w:p w:rsidR="00DE7332" w:rsidRPr="00A353CE" w:rsidRDefault="00DE7332" w:rsidP="00F62A16">
      <w:pPr>
        <w:pStyle w:val="Opsomming1"/>
      </w:pPr>
      <w:r>
        <w:t>Bunge</w:t>
      </w:r>
      <w:r w:rsidRPr="00A353CE">
        <w:t>:</w:t>
      </w:r>
    </w:p>
    <w:p w:rsidR="00DE7332" w:rsidRPr="00C25ADD" w:rsidRDefault="00DE7332" w:rsidP="00F62A16">
      <w:pPr>
        <w:pStyle w:val="Opsomming3"/>
      </w:pPr>
      <w:r w:rsidRPr="00F62A16">
        <w:lastRenderedPageBreak/>
        <w:t>In March 2011 ING co-managed a bond issuance for Bunge with a total value of US$</w:t>
      </w:r>
      <w:r>
        <w:t xml:space="preserve"> 500 million (€ 358 million). </w:t>
      </w:r>
      <w:r w:rsidRPr="00C25ADD">
        <w:t xml:space="preserve">It was initiated for general corporate </w:t>
      </w:r>
      <w:r w:rsidR="000446BF">
        <w:t xml:space="preserve">and </w:t>
      </w:r>
      <w:r>
        <w:t>working capital</w:t>
      </w:r>
      <w:r w:rsidR="000446BF">
        <w:t xml:space="preserve"> purposes</w:t>
      </w:r>
      <w:r w:rsidRPr="00C25ADD">
        <w:t xml:space="preserve">. The bonds mature in </w:t>
      </w:r>
      <w:r w:rsidR="000446BF">
        <w:t>March</w:t>
      </w:r>
      <w:r>
        <w:t xml:space="preserve"> 2016 </w:t>
      </w:r>
      <w:r w:rsidRPr="00C25ADD">
        <w:t xml:space="preserve">at a </w:t>
      </w:r>
      <w:r>
        <w:t xml:space="preserve">fixed </w:t>
      </w:r>
      <w:r w:rsidRPr="00C25ADD">
        <w:t xml:space="preserve">rate of </w:t>
      </w:r>
      <w:r w:rsidR="000446BF">
        <w:t>4</w:t>
      </w:r>
      <w:r>
        <w:t>.</w:t>
      </w:r>
      <w:r w:rsidR="000446BF">
        <w:t>1</w:t>
      </w:r>
      <w:r w:rsidRPr="00C25ADD">
        <w:t>%</w:t>
      </w:r>
      <w:r>
        <w:t>.</w:t>
      </w:r>
      <w:r w:rsidRPr="00C25ADD">
        <w:t xml:space="preserve"> </w:t>
      </w:r>
      <w:r>
        <w:t xml:space="preserve">The banking syndicate consisted of </w:t>
      </w:r>
      <w:r w:rsidR="000446BF">
        <w:t>ten banks. ING underwrote US$ 15 million (</w:t>
      </w:r>
      <w:r w:rsidRPr="00C25ADD">
        <w:t xml:space="preserve">€ </w:t>
      </w:r>
      <w:r w:rsidR="000446BF">
        <w:t>11</w:t>
      </w:r>
      <w:r>
        <w:t xml:space="preserve"> million</w:t>
      </w:r>
      <w:r w:rsidR="000446BF">
        <w:t>)</w:t>
      </w:r>
      <w:r>
        <w:t>.</w:t>
      </w:r>
      <w:r w:rsidRPr="00031898">
        <w:rPr>
          <w:rStyle w:val="EndnoteReference"/>
        </w:rPr>
        <w:endnoteReference w:id="12"/>
      </w:r>
      <w:r w:rsidRPr="00C25ADD">
        <w:t xml:space="preserve"> </w:t>
      </w:r>
    </w:p>
    <w:p w:rsidR="00DE7332" w:rsidRDefault="00DE7332" w:rsidP="00F62A16">
      <w:pPr>
        <w:pStyle w:val="Opsomming3"/>
        <w:numPr>
          <w:ilvl w:val="0"/>
          <w:numId w:val="0"/>
        </w:numPr>
        <w:ind w:left="567"/>
      </w:pPr>
    </w:p>
    <w:p w:rsidR="00FC5868" w:rsidRPr="00C25ADD" w:rsidRDefault="00FC5868" w:rsidP="00F62A16">
      <w:pPr>
        <w:pStyle w:val="Opsomming3"/>
      </w:pPr>
      <w:r w:rsidRPr="00F62A16">
        <w:t>In June 2012 ING co-managed a bond issuance for Bunge with a total value of US$</w:t>
      </w:r>
      <w:r>
        <w:t xml:space="preserve"> 600 million (€ 481 million). </w:t>
      </w:r>
      <w:r w:rsidRPr="00C25ADD">
        <w:t>It was initiated for general corporate</w:t>
      </w:r>
      <w:r w:rsidR="003A6B62">
        <w:t xml:space="preserve"> purposes</w:t>
      </w:r>
      <w:r w:rsidRPr="00C25ADD">
        <w:t xml:space="preserve"> </w:t>
      </w:r>
      <w:r>
        <w:t>and to reduce indebtedness</w:t>
      </w:r>
      <w:r w:rsidRPr="00C25ADD">
        <w:t xml:space="preserve">. The bonds mature in </w:t>
      </w:r>
      <w:r>
        <w:t xml:space="preserve">June 2017 </w:t>
      </w:r>
      <w:r w:rsidRPr="00C25ADD">
        <w:t xml:space="preserve">at a </w:t>
      </w:r>
      <w:r>
        <w:t xml:space="preserve">fixed </w:t>
      </w:r>
      <w:r w:rsidRPr="00C25ADD">
        <w:t xml:space="preserve">rate of </w:t>
      </w:r>
      <w:r>
        <w:t>3.2</w:t>
      </w:r>
      <w:r w:rsidRPr="00C25ADD">
        <w:t>%</w:t>
      </w:r>
      <w:r>
        <w:t>.</w:t>
      </w:r>
      <w:r w:rsidRPr="00C25ADD">
        <w:t xml:space="preserve"> </w:t>
      </w:r>
      <w:r>
        <w:t>The banking syndicate consisted of 14 banks. ING underwrote US$ 9 million (</w:t>
      </w:r>
      <w:r w:rsidRPr="00C25ADD">
        <w:t xml:space="preserve">€ </w:t>
      </w:r>
      <w:r>
        <w:t>7 million).</w:t>
      </w:r>
      <w:r w:rsidRPr="00031898">
        <w:rPr>
          <w:rStyle w:val="EndnoteReference"/>
        </w:rPr>
        <w:endnoteReference w:id="13"/>
      </w:r>
      <w:r w:rsidRPr="00C25ADD">
        <w:t xml:space="preserve"> </w:t>
      </w:r>
    </w:p>
    <w:p w:rsidR="00FC5868" w:rsidRDefault="00FC5868" w:rsidP="00985FAF"/>
    <w:p w:rsidR="003A6B62" w:rsidRPr="003A6B62" w:rsidRDefault="003A6B62" w:rsidP="00F62A16">
      <w:pPr>
        <w:pStyle w:val="Opsomming1"/>
      </w:pPr>
      <w:r w:rsidRPr="003A6B62">
        <w:t>Cargill:</w:t>
      </w:r>
    </w:p>
    <w:p w:rsidR="003A6B62" w:rsidRPr="00C25ADD" w:rsidRDefault="003A6B62" w:rsidP="00F62A16">
      <w:pPr>
        <w:pStyle w:val="Opsomming3"/>
      </w:pPr>
      <w:r w:rsidRPr="00F62A16">
        <w:t>In August 2012 ING co-managed a bond issuance for Cargill with a total value of € 500</w:t>
      </w:r>
      <w:r>
        <w:t xml:space="preserve"> million. </w:t>
      </w:r>
      <w:r w:rsidRPr="00C25ADD">
        <w:t>It was initiated for general corporate</w:t>
      </w:r>
      <w:r>
        <w:t xml:space="preserve"> purposes</w:t>
      </w:r>
      <w:r w:rsidRPr="00C25ADD">
        <w:t xml:space="preserve">. The bonds mature in </w:t>
      </w:r>
      <w:r>
        <w:t xml:space="preserve">September 2019 </w:t>
      </w:r>
      <w:r w:rsidRPr="00C25ADD">
        <w:t xml:space="preserve">at a </w:t>
      </w:r>
      <w:r>
        <w:t xml:space="preserve">fixed </w:t>
      </w:r>
      <w:r w:rsidRPr="00C25ADD">
        <w:t xml:space="preserve">rate of </w:t>
      </w:r>
      <w:r>
        <w:t>1.875</w:t>
      </w:r>
      <w:r w:rsidRPr="00C25ADD">
        <w:t>%</w:t>
      </w:r>
      <w:r>
        <w:t>.</w:t>
      </w:r>
      <w:r w:rsidRPr="00C25ADD">
        <w:t xml:space="preserve"> </w:t>
      </w:r>
      <w:r>
        <w:t xml:space="preserve">The banking syndicate consisted of nine banks and </w:t>
      </w:r>
      <w:r w:rsidR="00D858F0">
        <w:t>was led</w:t>
      </w:r>
      <w:r>
        <w:t xml:space="preserve"> by three </w:t>
      </w:r>
      <w:r w:rsidR="00D858F0">
        <w:t>joint book runners</w:t>
      </w:r>
      <w:r>
        <w:t xml:space="preserve">. ING’s share is estimated at </w:t>
      </w:r>
      <w:r w:rsidRPr="00C25ADD">
        <w:t xml:space="preserve">€ </w:t>
      </w:r>
      <w:r>
        <w:t>28 million.</w:t>
      </w:r>
      <w:r w:rsidRPr="00031898">
        <w:rPr>
          <w:rStyle w:val="EndnoteReference"/>
        </w:rPr>
        <w:endnoteReference w:id="14"/>
      </w:r>
      <w:r w:rsidRPr="00C25ADD">
        <w:t xml:space="preserve"> </w:t>
      </w:r>
    </w:p>
    <w:p w:rsidR="003A6B62" w:rsidRDefault="003A6B62" w:rsidP="00985FAF"/>
    <w:p w:rsidR="00F27748" w:rsidRPr="003A6B62" w:rsidRDefault="00F27748" w:rsidP="00F62A16">
      <w:pPr>
        <w:pStyle w:val="Opsomming1"/>
      </w:pPr>
      <w:r>
        <w:t>Louis Dreyfus</w:t>
      </w:r>
      <w:r w:rsidRPr="003A6B62">
        <w:t>:</w:t>
      </w:r>
    </w:p>
    <w:p w:rsidR="00F27748" w:rsidRPr="00C25ADD" w:rsidRDefault="00F27748" w:rsidP="00F62A16">
      <w:pPr>
        <w:pStyle w:val="Opsomming3"/>
      </w:pPr>
      <w:r w:rsidRPr="00F62A16">
        <w:t>In July 2013 ING co-managed a bond issuance for Louis Dreyfus with a total value of €</w:t>
      </w:r>
      <w:r>
        <w:t xml:space="preserve"> </w:t>
      </w:r>
      <w:r w:rsidRPr="00F62A16">
        <w:t>400 million. It was initiated for general corporate purposes. The bonds mature in July</w:t>
      </w:r>
      <w:r>
        <w:t xml:space="preserve"> 2018 </w:t>
      </w:r>
      <w:r w:rsidRPr="00C25ADD">
        <w:t xml:space="preserve">at a </w:t>
      </w:r>
      <w:r>
        <w:t xml:space="preserve">fixed </w:t>
      </w:r>
      <w:r w:rsidRPr="00C25ADD">
        <w:t xml:space="preserve">rate of </w:t>
      </w:r>
      <w:r>
        <w:t>3.875</w:t>
      </w:r>
      <w:r w:rsidRPr="00C25ADD">
        <w:t>%</w:t>
      </w:r>
      <w:r>
        <w:t>.</w:t>
      </w:r>
      <w:r w:rsidRPr="00C25ADD">
        <w:t xml:space="preserve"> </w:t>
      </w:r>
      <w:r>
        <w:t xml:space="preserve">The banking syndicate consisted of four banks. ING’s share is estimated at </w:t>
      </w:r>
      <w:r w:rsidRPr="00C25ADD">
        <w:t xml:space="preserve">€ </w:t>
      </w:r>
      <w:r>
        <w:t>100 million.</w:t>
      </w:r>
      <w:r w:rsidRPr="00031898">
        <w:rPr>
          <w:rStyle w:val="EndnoteReference"/>
        </w:rPr>
        <w:endnoteReference w:id="15"/>
      </w:r>
      <w:r w:rsidRPr="00C25ADD">
        <w:t xml:space="preserve"> </w:t>
      </w:r>
    </w:p>
    <w:p w:rsidR="00F27748" w:rsidRPr="00A353CE" w:rsidRDefault="00F27748" w:rsidP="00985FAF"/>
    <w:p w:rsidR="00985FAF" w:rsidRPr="00ED1F1A" w:rsidRDefault="00985FAF" w:rsidP="00985FAF">
      <w:pPr>
        <w:pStyle w:val="Heading2"/>
        <w:rPr>
          <w:lang w:val="en-US"/>
        </w:rPr>
      </w:pPr>
      <w:bookmarkStart w:id="42" w:name="_Toc365554354"/>
      <w:r>
        <w:rPr>
          <w:lang w:val="en-US"/>
        </w:rPr>
        <w:t>Loans</w:t>
      </w:r>
      <w:bookmarkEnd w:id="42"/>
    </w:p>
    <w:p w:rsidR="00887051" w:rsidRDefault="00887051" w:rsidP="00887051">
      <w:pPr>
        <w:rPr>
          <w:lang w:val="en-US"/>
        </w:rPr>
      </w:pPr>
      <w:r w:rsidRPr="009A46A4">
        <w:rPr>
          <w:lang w:val="en-US"/>
        </w:rPr>
        <w:t xml:space="preserve">Since </w:t>
      </w:r>
      <w:r>
        <w:rPr>
          <w:lang w:val="en-US"/>
        </w:rPr>
        <w:t>1 July</w:t>
      </w:r>
      <w:r w:rsidRPr="009A46A4">
        <w:rPr>
          <w:lang w:val="en-US"/>
        </w:rPr>
        <w:t xml:space="preserve"> 20</w:t>
      </w:r>
      <w:r>
        <w:rPr>
          <w:lang w:val="en-US"/>
        </w:rPr>
        <w:t>10</w:t>
      </w:r>
      <w:r w:rsidRPr="009A46A4">
        <w:rPr>
          <w:lang w:val="en-US"/>
        </w:rPr>
        <w:t xml:space="preserve"> </w:t>
      </w:r>
      <w:r>
        <w:rPr>
          <w:lang w:val="en-US"/>
        </w:rPr>
        <w:t>ING</w:t>
      </w:r>
      <w:r w:rsidRPr="009A46A4">
        <w:rPr>
          <w:lang w:val="en-US"/>
        </w:rPr>
        <w:t xml:space="preserve"> provided the following loans to </w:t>
      </w:r>
      <w:r w:rsidR="00E02F5C">
        <w:rPr>
          <w:lang w:val="en-US"/>
        </w:rPr>
        <w:t xml:space="preserve">the </w:t>
      </w:r>
      <w:r>
        <w:rPr>
          <w:lang w:val="en-US"/>
        </w:rPr>
        <w:t>food companies</w:t>
      </w:r>
      <w:r w:rsidR="00E02F5C">
        <w:rPr>
          <w:lang w:val="en-US"/>
        </w:rPr>
        <w:t xml:space="preserve"> researched:</w:t>
      </w:r>
    </w:p>
    <w:p w:rsidR="00887051" w:rsidRDefault="00887051" w:rsidP="00887051">
      <w:pPr>
        <w:rPr>
          <w:lang w:val="en-US"/>
        </w:rPr>
      </w:pPr>
    </w:p>
    <w:p w:rsidR="00E85EC3" w:rsidRPr="00E85EC3" w:rsidRDefault="00E85EC3" w:rsidP="00F62A16">
      <w:pPr>
        <w:pStyle w:val="Opsomming1"/>
        <w:rPr>
          <w:lang w:val="en-US"/>
        </w:rPr>
      </w:pPr>
      <w:r w:rsidRPr="00E85EC3">
        <w:rPr>
          <w:lang w:val="en-US"/>
        </w:rPr>
        <w:t>Danone:</w:t>
      </w:r>
    </w:p>
    <w:p w:rsidR="00E85EC3" w:rsidRPr="009A46A4" w:rsidRDefault="00E85EC3" w:rsidP="00F62A16">
      <w:pPr>
        <w:pStyle w:val="Opsomming3"/>
        <w:rPr>
          <w:lang w:val="en-US"/>
        </w:rPr>
      </w:pPr>
      <w:r>
        <w:rPr>
          <w:lang w:val="en-US"/>
        </w:rPr>
        <w:t xml:space="preserve">In July 2011 ING </w:t>
      </w:r>
      <w:r w:rsidRPr="009A46A4">
        <w:rPr>
          <w:lang w:val="en-US"/>
        </w:rPr>
        <w:t xml:space="preserve">participated in a syndicated revolving credit facility for </w:t>
      </w:r>
      <w:r>
        <w:rPr>
          <w:lang w:val="en-US"/>
        </w:rPr>
        <w:t>Danone</w:t>
      </w:r>
      <w:r w:rsidRPr="009A46A4">
        <w:rPr>
          <w:lang w:val="en-US"/>
        </w:rPr>
        <w:t xml:space="preserve">. The total value of the facility was € </w:t>
      </w:r>
      <w:r>
        <w:rPr>
          <w:lang w:val="en-US"/>
        </w:rPr>
        <w:t>2,000</w:t>
      </w:r>
      <w:r w:rsidRPr="009A46A4">
        <w:rPr>
          <w:lang w:val="en-US"/>
        </w:rPr>
        <w:t xml:space="preserve"> million. </w:t>
      </w:r>
      <w:r>
        <w:rPr>
          <w:lang w:val="en-US"/>
        </w:rPr>
        <w:t>The banking syndicate consisted of 12</w:t>
      </w:r>
      <w:r w:rsidRPr="009A46A4">
        <w:rPr>
          <w:lang w:val="en-US"/>
        </w:rPr>
        <w:t xml:space="preserve"> banks.</w:t>
      </w:r>
      <w:r>
        <w:rPr>
          <w:lang w:val="en-US"/>
        </w:rPr>
        <w:t xml:space="preserve"> </w:t>
      </w:r>
      <w:r w:rsidRPr="009A46A4">
        <w:rPr>
          <w:lang w:val="en-US"/>
        </w:rPr>
        <w:t xml:space="preserve">The maturity date is in </w:t>
      </w:r>
      <w:r>
        <w:rPr>
          <w:lang w:val="en-US"/>
        </w:rPr>
        <w:t>July</w:t>
      </w:r>
      <w:r w:rsidRPr="009A46A4">
        <w:rPr>
          <w:lang w:val="en-US"/>
        </w:rPr>
        <w:t xml:space="preserve"> 201</w:t>
      </w:r>
      <w:r>
        <w:rPr>
          <w:lang w:val="en-US"/>
        </w:rPr>
        <w:t>6</w:t>
      </w:r>
      <w:r w:rsidRPr="009A46A4">
        <w:rPr>
          <w:lang w:val="en-US"/>
        </w:rPr>
        <w:t xml:space="preserve">. The facility was initiated </w:t>
      </w:r>
      <w:r w:rsidR="000446BF">
        <w:rPr>
          <w:lang w:val="en-US"/>
        </w:rPr>
        <w:t>for general corporate purposes</w:t>
      </w:r>
      <w:r>
        <w:rPr>
          <w:lang w:val="en-US"/>
        </w:rPr>
        <w:t xml:space="preserve"> and refinancing of bank debt</w:t>
      </w:r>
      <w:r w:rsidRPr="009A46A4">
        <w:rPr>
          <w:lang w:val="en-US"/>
        </w:rPr>
        <w:t>.</w:t>
      </w:r>
      <w:r w:rsidRPr="006C235F">
        <w:rPr>
          <w:lang w:val="en-US"/>
        </w:rPr>
        <w:t xml:space="preserve"> </w:t>
      </w:r>
      <w:r>
        <w:rPr>
          <w:lang w:val="en-US"/>
        </w:rPr>
        <w:t xml:space="preserve">ING’s share is estimated at </w:t>
      </w:r>
      <w:r w:rsidRPr="009A46A4">
        <w:rPr>
          <w:lang w:val="en-US"/>
        </w:rPr>
        <w:t xml:space="preserve">€ </w:t>
      </w:r>
      <w:r>
        <w:rPr>
          <w:lang w:val="en-US"/>
        </w:rPr>
        <w:t>167</w:t>
      </w:r>
      <w:r w:rsidRPr="009A46A4">
        <w:rPr>
          <w:lang w:val="en-US"/>
        </w:rPr>
        <w:t xml:space="preserve"> million.</w:t>
      </w:r>
      <w:r w:rsidRPr="00031898">
        <w:rPr>
          <w:rStyle w:val="EndnoteReference"/>
        </w:rPr>
        <w:endnoteReference w:id="16"/>
      </w:r>
    </w:p>
    <w:p w:rsidR="00E85EC3" w:rsidRDefault="00E85EC3" w:rsidP="00887051">
      <w:pPr>
        <w:rPr>
          <w:lang w:val="en-US"/>
        </w:rPr>
      </w:pPr>
    </w:p>
    <w:p w:rsidR="00E85EC3" w:rsidRPr="00E85EC3" w:rsidRDefault="00E85EC3" w:rsidP="00F62A16">
      <w:pPr>
        <w:pStyle w:val="Opsomming1"/>
        <w:rPr>
          <w:lang w:val="en-US"/>
        </w:rPr>
      </w:pPr>
      <w:r w:rsidRPr="00E85EC3">
        <w:rPr>
          <w:lang w:val="en-US"/>
        </w:rPr>
        <w:t>Nestlé:</w:t>
      </w:r>
    </w:p>
    <w:p w:rsidR="00E85EC3" w:rsidRPr="009A46A4" w:rsidRDefault="00E85EC3" w:rsidP="00F62A16">
      <w:pPr>
        <w:pStyle w:val="Opsomming3"/>
        <w:rPr>
          <w:lang w:val="en-US"/>
        </w:rPr>
      </w:pPr>
      <w:r>
        <w:rPr>
          <w:lang w:val="en-US"/>
        </w:rPr>
        <w:t xml:space="preserve">In October 2010 ING </w:t>
      </w:r>
      <w:r w:rsidRPr="009A46A4">
        <w:rPr>
          <w:lang w:val="en-US"/>
        </w:rPr>
        <w:t xml:space="preserve">participated in a syndicated revolving credit facility for </w:t>
      </w:r>
      <w:r w:rsidRPr="00E85EC3">
        <w:rPr>
          <w:lang w:val="en-US"/>
        </w:rPr>
        <w:t>Nestlé</w:t>
      </w:r>
      <w:r w:rsidRPr="009A46A4">
        <w:rPr>
          <w:lang w:val="en-US"/>
        </w:rPr>
        <w:t xml:space="preserve">. The total value of the facility was € </w:t>
      </w:r>
      <w:r>
        <w:rPr>
          <w:lang w:val="en-US"/>
        </w:rPr>
        <w:t>5,000</w:t>
      </w:r>
      <w:r w:rsidRPr="009A46A4">
        <w:rPr>
          <w:lang w:val="en-US"/>
        </w:rPr>
        <w:t xml:space="preserve"> million. </w:t>
      </w:r>
      <w:r>
        <w:rPr>
          <w:lang w:val="en-US"/>
        </w:rPr>
        <w:t>The banking syndicate consisted of 30</w:t>
      </w:r>
      <w:r w:rsidRPr="009A46A4">
        <w:rPr>
          <w:lang w:val="en-US"/>
        </w:rPr>
        <w:t xml:space="preserve"> banks.</w:t>
      </w:r>
      <w:r>
        <w:rPr>
          <w:lang w:val="en-US"/>
        </w:rPr>
        <w:t xml:space="preserve"> </w:t>
      </w:r>
      <w:r w:rsidRPr="009A46A4">
        <w:rPr>
          <w:lang w:val="en-US"/>
        </w:rPr>
        <w:t xml:space="preserve">The maturity date is in </w:t>
      </w:r>
      <w:r>
        <w:rPr>
          <w:lang w:val="en-US"/>
        </w:rPr>
        <w:t>November</w:t>
      </w:r>
      <w:r w:rsidRPr="009A46A4">
        <w:rPr>
          <w:lang w:val="en-US"/>
        </w:rPr>
        <w:t xml:space="preserve"> 201</w:t>
      </w:r>
      <w:r>
        <w:rPr>
          <w:lang w:val="en-US"/>
        </w:rPr>
        <w:t>5</w:t>
      </w:r>
      <w:r w:rsidRPr="009A46A4">
        <w:rPr>
          <w:lang w:val="en-US"/>
        </w:rPr>
        <w:t>. The facil</w:t>
      </w:r>
      <w:r>
        <w:rPr>
          <w:lang w:val="en-US"/>
        </w:rPr>
        <w:t>ity was initiated for refinancing purposes</w:t>
      </w:r>
      <w:r w:rsidRPr="009A46A4">
        <w:rPr>
          <w:lang w:val="en-US"/>
        </w:rPr>
        <w:t>.</w:t>
      </w:r>
      <w:r w:rsidRPr="006C235F">
        <w:rPr>
          <w:lang w:val="en-US"/>
        </w:rPr>
        <w:t xml:space="preserve"> </w:t>
      </w:r>
      <w:r>
        <w:rPr>
          <w:lang w:val="en-US"/>
        </w:rPr>
        <w:t xml:space="preserve">ING’s share is estimated at </w:t>
      </w:r>
      <w:r w:rsidRPr="009A46A4">
        <w:rPr>
          <w:lang w:val="en-US"/>
        </w:rPr>
        <w:t xml:space="preserve">€ </w:t>
      </w:r>
      <w:r>
        <w:rPr>
          <w:lang w:val="en-US"/>
        </w:rPr>
        <w:t>167</w:t>
      </w:r>
      <w:r w:rsidRPr="009A46A4">
        <w:rPr>
          <w:lang w:val="en-US"/>
        </w:rPr>
        <w:t xml:space="preserve"> million.</w:t>
      </w:r>
      <w:r w:rsidRPr="00031898">
        <w:rPr>
          <w:rStyle w:val="EndnoteReference"/>
        </w:rPr>
        <w:endnoteReference w:id="17"/>
      </w:r>
    </w:p>
    <w:p w:rsidR="00E85EC3" w:rsidRDefault="00E85EC3" w:rsidP="00F62A16">
      <w:pPr>
        <w:pStyle w:val="Opsomming3"/>
        <w:numPr>
          <w:ilvl w:val="0"/>
          <w:numId w:val="0"/>
        </w:numPr>
        <w:ind w:left="567"/>
        <w:rPr>
          <w:lang w:val="en-US"/>
        </w:rPr>
      </w:pPr>
    </w:p>
    <w:p w:rsidR="0032300D" w:rsidRPr="009A46A4" w:rsidRDefault="0032300D" w:rsidP="00F62A16">
      <w:pPr>
        <w:pStyle w:val="Opsomming3"/>
        <w:rPr>
          <w:lang w:val="en-US"/>
        </w:rPr>
      </w:pPr>
      <w:r>
        <w:rPr>
          <w:lang w:val="en-US"/>
        </w:rPr>
        <w:t xml:space="preserve">In September 2011 ING </w:t>
      </w:r>
      <w:r w:rsidRPr="009A46A4">
        <w:rPr>
          <w:lang w:val="en-US"/>
        </w:rPr>
        <w:t xml:space="preserve">participated in a syndicated revolving credit facility for </w:t>
      </w:r>
      <w:r w:rsidRPr="00E85EC3">
        <w:rPr>
          <w:lang w:val="en-US"/>
        </w:rPr>
        <w:t>Nestlé</w:t>
      </w:r>
      <w:r w:rsidRPr="009A46A4">
        <w:rPr>
          <w:lang w:val="en-US"/>
        </w:rPr>
        <w:t xml:space="preserve">. The total value of the facility was € </w:t>
      </w:r>
      <w:r>
        <w:rPr>
          <w:lang w:val="en-US"/>
        </w:rPr>
        <w:t>4,500</w:t>
      </w:r>
      <w:r w:rsidRPr="009A46A4">
        <w:rPr>
          <w:lang w:val="en-US"/>
        </w:rPr>
        <w:t xml:space="preserve"> million. </w:t>
      </w:r>
      <w:r>
        <w:rPr>
          <w:lang w:val="en-US"/>
        </w:rPr>
        <w:t>The banking syndicate consisted of 23</w:t>
      </w:r>
      <w:r w:rsidRPr="009A46A4">
        <w:rPr>
          <w:lang w:val="en-US"/>
        </w:rPr>
        <w:t xml:space="preserve"> banks.</w:t>
      </w:r>
      <w:r>
        <w:rPr>
          <w:lang w:val="en-US"/>
        </w:rPr>
        <w:t xml:space="preserve"> The maturity date wa</w:t>
      </w:r>
      <w:r w:rsidRPr="009A46A4">
        <w:rPr>
          <w:lang w:val="en-US"/>
        </w:rPr>
        <w:t xml:space="preserve">s in </w:t>
      </w:r>
      <w:r>
        <w:rPr>
          <w:lang w:val="en-US"/>
        </w:rPr>
        <w:t>October</w:t>
      </w:r>
      <w:r w:rsidRPr="009A46A4">
        <w:rPr>
          <w:lang w:val="en-US"/>
        </w:rPr>
        <w:t xml:space="preserve"> 201</w:t>
      </w:r>
      <w:r>
        <w:rPr>
          <w:lang w:val="en-US"/>
        </w:rPr>
        <w:t>2</w:t>
      </w:r>
      <w:r w:rsidRPr="009A46A4">
        <w:rPr>
          <w:lang w:val="en-US"/>
        </w:rPr>
        <w:t>. The facil</w:t>
      </w:r>
      <w:r>
        <w:rPr>
          <w:lang w:val="en-US"/>
        </w:rPr>
        <w:t xml:space="preserve">ity was initiated </w:t>
      </w:r>
      <w:r w:rsidR="000446BF">
        <w:rPr>
          <w:lang w:val="en-US"/>
        </w:rPr>
        <w:t>for general corporate purposes</w:t>
      </w:r>
      <w:r>
        <w:rPr>
          <w:lang w:val="en-US"/>
        </w:rPr>
        <w:t xml:space="preserve"> and refinancing of bank debt</w:t>
      </w:r>
      <w:r w:rsidRPr="009A46A4">
        <w:rPr>
          <w:lang w:val="en-US"/>
        </w:rPr>
        <w:t>.</w:t>
      </w:r>
      <w:r w:rsidRPr="006C235F">
        <w:rPr>
          <w:lang w:val="en-US"/>
        </w:rPr>
        <w:t xml:space="preserve"> </w:t>
      </w:r>
      <w:r>
        <w:rPr>
          <w:lang w:val="en-US"/>
        </w:rPr>
        <w:t xml:space="preserve">ING’s share is estimated at </w:t>
      </w:r>
      <w:r w:rsidRPr="009A46A4">
        <w:rPr>
          <w:lang w:val="en-US"/>
        </w:rPr>
        <w:t xml:space="preserve">€ </w:t>
      </w:r>
      <w:r>
        <w:rPr>
          <w:lang w:val="en-US"/>
        </w:rPr>
        <w:t>196</w:t>
      </w:r>
      <w:r w:rsidRPr="009A46A4">
        <w:rPr>
          <w:lang w:val="en-US"/>
        </w:rPr>
        <w:t xml:space="preserve"> million.</w:t>
      </w:r>
      <w:r w:rsidRPr="00031898">
        <w:rPr>
          <w:rStyle w:val="EndnoteReference"/>
        </w:rPr>
        <w:endnoteReference w:id="18"/>
      </w:r>
    </w:p>
    <w:p w:rsidR="0032300D" w:rsidRDefault="0032300D" w:rsidP="00F62A16">
      <w:pPr>
        <w:pStyle w:val="Opsomming3"/>
        <w:numPr>
          <w:ilvl w:val="0"/>
          <w:numId w:val="0"/>
        </w:numPr>
        <w:ind w:left="567"/>
        <w:rPr>
          <w:lang w:val="en-US"/>
        </w:rPr>
      </w:pPr>
    </w:p>
    <w:p w:rsidR="0032300D" w:rsidRPr="009A46A4" w:rsidRDefault="0032300D" w:rsidP="00F62A16">
      <w:pPr>
        <w:pStyle w:val="Opsomming3"/>
        <w:rPr>
          <w:lang w:val="en-US"/>
        </w:rPr>
      </w:pPr>
      <w:r>
        <w:rPr>
          <w:lang w:val="en-US"/>
        </w:rPr>
        <w:t xml:space="preserve">In September 2012 ING </w:t>
      </w:r>
      <w:r w:rsidRPr="009A46A4">
        <w:rPr>
          <w:lang w:val="en-US"/>
        </w:rPr>
        <w:t xml:space="preserve">participated in a syndicated revolving credit facility for </w:t>
      </w:r>
      <w:r w:rsidRPr="00E85EC3">
        <w:rPr>
          <w:lang w:val="en-US"/>
        </w:rPr>
        <w:t>Nestlé</w:t>
      </w:r>
      <w:r w:rsidRPr="009A46A4">
        <w:rPr>
          <w:lang w:val="en-US"/>
        </w:rPr>
        <w:t xml:space="preserve">. The total value of the facility was </w:t>
      </w:r>
      <w:r>
        <w:rPr>
          <w:lang w:val="en-US"/>
        </w:rPr>
        <w:t>US$ 6,328 million (</w:t>
      </w:r>
      <w:r w:rsidRPr="009A46A4">
        <w:rPr>
          <w:lang w:val="en-US"/>
        </w:rPr>
        <w:t xml:space="preserve">€ </w:t>
      </w:r>
      <w:r>
        <w:rPr>
          <w:lang w:val="en-US"/>
        </w:rPr>
        <w:t>4,910</w:t>
      </w:r>
      <w:r w:rsidRPr="009A46A4">
        <w:rPr>
          <w:lang w:val="en-US"/>
        </w:rPr>
        <w:t xml:space="preserve"> million</w:t>
      </w:r>
      <w:r>
        <w:rPr>
          <w:lang w:val="en-US"/>
        </w:rPr>
        <w:t>)</w:t>
      </w:r>
      <w:r w:rsidRPr="009A46A4">
        <w:rPr>
          <w:lang w:val="en-US"/>
        </w:rPr>
        <w:t xml:space="preserve">. </w:t>
      </w:r>
      <w:r>
        <w:rPr>
          <w:lang w:val="en-US"/>
        </w:rPr>
        <w:t>The banking syndicate consisted of 25</w:t>
      </w:r>
      <w:r w:rsidRPr="009A46A4">
        <w:rPr>
          <w:lang w:val="en-US"/>
        </w:rPr>
        <w:t xml:space="preserve"> banks.</w:t>
      </w:r>
      <w:r>
        <w:rPr>
          <w:lang w:val="en-US"/>
        </w:rPr>
        <w:t xml:space="preserve"> The maturity date wa</w:t>
      </w:r>
      <w:r w:rsidRPr="009A46A4">
        <w:rPr>
          <w:lang w:val="en-US"/>
        </w:rPr>
        <w:t xml:space="preserve">s in </w:t>
      </w:r>
      <w:r>
        <w:rPr>
          <w:lang w:val="en-US"/>
        </w:rPr>
        <w:t>October</w:t>
      </w:r>
      <w:r w:rsidRPr="009A46A4">
        <w:rPr>
          <w:lang w:val="en-US"/>
        </w:rPr>
        <w:t xml:space="preserve"> 201</w:t>
      </w:r>
      <w:r>
        <w:rPr>
          <w:lang w:val="en-US"/>
        </w:rPr>
        <w:t>3</w:t>
      </w:r>
      <w:r w:rsidRPr="009A46A4">
        <w:rPr>
          <w:lang w:val="en-US"/>
        </w:rPr>
        <w:t>. The facil</w:t>
      </w:r>
      <w:r>
        <w:rPr>
          <w:lang w:val="en-US"/>
        </w:rPr>
        <w:t xml:space="preserve">ity was initiated </w:t>
      </w:r>
      <w:r w:rsidR="000446BF">
        <w:rPr>
          <w:lang w:val="en-US"/>
        </w:rPr>
        <w:t>for general corporate purposes</w:t>
      </w:r>
      <w:r>
        <w:rPr>
          <w:lang w:val="en-US"/>
        </w:rPr>
        <w:t xml:space="preserve"> and refinancing of bank debt</w:t>
      </w:r>
      <w:r w:rsidRPr="009A46A4">
        <w:rPr>
          <w:lang w:val="en-US"/>
        </w:rPr>
        <w:t>.</w:t>
      </w:r>
      <w:r w:rsidRPr="006C235F">
        <w:rPr>
          <w:lang w:val="en-US"/>
        </w:rPr>
        <w:t xml:space="preserve"> </w:t>
      </w:r>
      <w:r>
        <w:rPr>
          <w:lang w:val="en-US"/>
        </w:rPr>
        <w:t>ING’s share is estimated at US$ 253 million (</w:t>
      </w:r>
      <w:r w:rsidRPr="009A46A4">
        <w:rPr>
          <w:lang w:val="en-US"/>
        </w:rPr>
        <w:t xml:space="preserve">€ </w:t>
      </w:r>
      <w:r>
        <w:rPr>
          <w:lang w:val="en-US"/>
        </w:rPr>
        <w:t>196</w:t>
      </w:r>
      <w:r w:rsidRPr="009A46A4">
        <w:rPr>
          <w:lang w:val="en-US"/>
        </w:rPr>
        <w:t xml:space="preserve"> million</w:t>
      </w:r>
      <w:r>
        <w:rPr>
          <w:lang w:val="en-US"/>
        </w:rPr>
        <w:t>)</w:t>
      </w:r>
      <w:r w:rsidRPr="009A46A4">
        <w:rPr>
          <w:lang w:val="en-US"/>
        </w:rPr>
        <w:t>.</w:t>
      </w:r>
      <w:r w:rsidRPr="00031898">
        <w:rPr>
          <w:rStyle w:val="EndnoteReference"/>
        </w:rPr>
        <w:endnoteReference w:id="19"/>
      </w:r>
    </w:p>
    <w:p w:rsidR="00E85EC3" w:rsidRDefault="00E85EC3" w:rsidP="00887051">
      <w:pPr>
        <w:rPr>
          <w:lang w:val="en-US"/>
        </w:rPr>
      </w:pPr>
    </w:p>
    <w:p w:rsidR="00286738" w:rsidRPr="009A46A4" w:rsidRDefault="00286738" w:rsidP="00F62A16">
      <w:pPr>
        <w:pStyle w:val="Opsomming1"/>
        <w:rPr>
          <w:lang w:val="en-US"/>
        </w:rPr>
      </w:pPr>
      <w:r>
        <w:rPr>
          <w:lang w:val="en-US"/>
        </w:rPr>
        <w:t>Archer Daniels Midland</w:t>
      </w:r>
      <w:r w:rsidRPr="009A46A4">
        <w:rPr>
          <w:lang w:val="en-US"/>
        </w:rPr>
        <w:t>:</w:t>
      </w:r>
    </w:p>
    <w:p w:rsidR="00286738" w:rsidRDefault="00286738" w:rsidP="00F62A16">
      <w:pPr>
        <w:pStyle w:val="Opsomming3"/>
        <w:rPr>
          <w:lang w:val="en-US"/>
        </w:rPr>
      </w:pPr>
      <w:r>
        <w:rPr>
          <w:lang w:val="en-US"/>
        </w:rPr>
        <w:lastRenderedPageBreak/>
        <w:t xml:space="preserve">In October 2010 ING </w:t>
      </w:r>
      <w:r w:rsidRPr="009A46A4">
        <w:rPr>
          <w:lang w:val="en-US"/>
        </w:rPr>
        <w:t xml:space="preserve">participated in a syndicated revolving credit facility for </w:t>
      </w:r>
      <w:r w:rsidRPr="00286738">
        <w:rPr>
          <w:lang w:val="en-US"/>
        </w:rPr>
        <w:t>Archer Daniels Midland</w:t>
      </w:r>
      <w:r w:rsidRPr="009A46A4">
        <w:rPr>
          <w:lang w:val="en-US"/>
        </w:rPr>
        <w:t xml:space="preserve">. The total value of the facility was US$ </w:t>
      </w:r>
      <w:r>
        <w:rPr>
          <w:lang w:val="en-US"/>
        </w:rPr>
        <w:t>2,000</w:t>
      </w:r>
      <w:r w:rsidRPr="009A46A4">
        <w:rPr>
          <w:lang w:val="en-US"/>
        </w:rPr>
        <w:t xml:space="preserve"> million (€ </w:t>
      </w:r>
      <w:r>
        <w:rPr>
          <w:lang w:val="en-US"/>
        </w:rPr>
        <w:t>1,436</w:t>
      </w:r>
      <w:r w:rsidRPr="009A46A4">
        <w:rPr>
          <w:lang w:val="en-US"/>
        </w:rPr>
        <w:t xml:space="preserve"> million). </w:t>
      </w:r>
      <w:r>
        <w:rPr>
          <w:lang w:val="en-US"/>
        </w:rPr>
        <w:t>The banking syndicate consisted of 25</w:t>
      </w:r>
      <w:r w:rsidRPr="009A46A4">
        <w:rPr>
          <w:lang w:val="en-US"/>
        </w:rPr>
        <w:t xml:space="preserve"> banks. The maturity date </w:t>
      </w:r>
      <w:r>
        <w:rPr>
          <w:lang w:val="en-US"/>
        </w:rPr>
        <w:t>was</w:t>
      </w:r>
      <w:r w:rsidRPr="009A46A4">
        <w:rPr>
          <w:lang w:val="en-US"/>
        </w:rPr>
        <w:t xml:space="preserve"> in </w:t>
      </w:r>
      <w:r>
        <w:rPr>
          <w:lang w:val="en-US"/>
        </w:rPr>
        <w:t>October</w:t>
      </w:r>
      <w:r w:rsidRPr="009A46A4">
        <w:rPr>
          <w:lang w:val="en-US"/>
        </w:rPr>
        <w:t xml:space="preserve"> 201</w:t>
      </w:r>
      <w:r>
        <w:rPr>
          <w:lang w:val="en-US"/>
        </w:rPr>
        <w:t>1</w:t>
      </w:r>
      <w:r w:rsidRPr="009A46A4">
        <w:rPr>
          <w:lang w:val="en-US"/>
        </w:rPr>
        <w:t xml:space="preserve">. The facility was initiated </w:t>
      </w:r>
      <w:r w:rsidR="000446BF">
        <w:rPr>
          <w:lang w:val="en-US"/>
        </w:rPr>
        <w:t>for general corporate purposes</w:t>
      </w:r>
      <w:r w:rsidRPr="009A46A4">
        <w:rPr>
          <w:lang w:val="en-US"/>
        </w:rPr>
        <w:t xml:space="preserve">. </w:t>
      </w:r>
      <w:r>
        <w:rPr>
          <w:lang w:val="en-US"/>
        </w:rPr>
        <w:t>ING’s share is estimated at U</w:t>
      </w:r>
      <w:r w:rsidRPr="009A46A4">
        <w:rPr>
          <w:lang w:val="en-US"/>
        </w:rPr>
        <w:t xml:space="preserve">S$ </w:t>
      </w:r>
      <w:r>
        <w:rPr>
          <w:lang w:val="en-US"/>
        </w:rPr>
        <w:t>80</w:t>
      </w:r>
      <w:r w:rsidRPr="009A46A4">
        <w:rPr>
          <w:lang w:val="en-US"/>
        </w:rPr>
        <w:t xml:space="preserve"> million (€ </w:t>
      </w:r>
      <w:r>
        <w:rPr>
          <w:lang w:val="en-US"/>
        </w:rPr>
        <w:t>57</w:t>
      </w:r>
      <w:r w:rsidRPr="009A46A4">
        <w:rPr>
          <w:lang w:val="en-US"/>
        </w:rPr>
        <w:t xml:space="preserve"> million).</w:t>
      </w:r>
      <w:r w:rsidRPr="00031898">
        <w:rPr>
          <w:rStyle w:val="EndnoteReference"/>
        </w:rPr>
        <w:endnoteReference w:id="20"/>
      </w:r>
    </w:p>
    <w:p w:rsidR="00286738" w:rsidRDefault="00286738" w:rsidP="00F62A16">
      <w:pPr>
        <w:pStyle w:val="Opsomming3"/>
        <w:numPr>
          <w:ilvl w:val="0"/>
          <w:numId w:val="0"/>
        </w:numPr>
        <w:ind w:left="567"/>
        <w:rPr>
          <w:lang w:val="en-US"/>
        </w:rPr>
      </w:pPr>
    </w:p>
    <w:p w:rsidR="00286738" w:rsidRPr="009A46A4" w:rsidRDefault="00286738" w:rsidP="00F62A16">
      <w:pPr>
        <w:pStyle w:val="Opsomming3"/>
        <w:rPr>
          <w:lang w:val="en-US"/>
        </w:rPr>
      </w:pPr>
      <w:r>
        <w:rPr>
          <w:lang w:val="en-US"/>
        </w:rPr>
        <w:t xml:space="preserve">In October 2011 ING </w:t>
      </w:r>
      <w:r w:rsidRPr="009A46A4">
        <w:rPr>
          <w:lang w:val="en-US"/>
        </w:rPr>
        <w:t xml:space="preserve">participated in a syndicated revolving credit facility for </w:t>
      </w:r>
      <w:r w:rsidRPr="00286738">
        <w:rPr>
          <w:lang w:val="en-US"/>
        </w:rPr>
        <w:t>Archer Daniels Midland</w:t>
      </w:r>
      <w:r w:rsidRPr="009A46A4">
        <w:rPr>
          <w:lang w:val="en-US"/>
        </w:rPr>
        <w:t xml:space="preserve">. The total value of the facility was US$ </w:t>
      </w:r>
      <w:r>
        <w:rPr>
          <w:lang w:val="en-US"/>
        </w:rPr>
        <w:t>2,000</w:t>
      </w:r>
      <w:r w:rsidRPr="009A46A4">
        <w:rPr>
          <w:lang w:val="en-US"/>
        </w:rPr>
        <w:t xml:space="preserve"> million (€ </w:t>
      </w:r>
      <w:r>
        <w:rPr>
          <w:lang w:val="en-US"/>
        </w:rPr>
        <w:t>1,409</w:t>
      </w:r>
      <w:r w:rsidRPr="009A46A4">
        <w:rPr>
          <w:lang w:val="en-US"/>
        </w:rPr>
        <w:t xml:space="preserve"> million). </w:t>
      </w:r>
      <w:r>
        <w:rPr>
          <w:lang w:val="en-US"/>
        </w:rPr>
        <w:t>The banking syndicate consisted of six</w:t>
      </w:r>
      <w:r w:rsidRPr="009A46A4">
        <w:rPr>
          <w:lang w:val="en-US"/>
        </w:rPr>
        <w:t xml:space="preserve"> banks. The maturity date </w:t>
      </w:r>
      <w:r>
        <w:rPr>
          <w:lang w:val="en-US"/>
        </w:rPr>
        <w:t>was</w:t>
      </w:r>
      <w:r w:rsidRPr="009A46A4">
        <w:rPr>
          <w:lang w:val="en-US"/>
        </w:rPr>
        <w:t xml:space="preserve"> in </w:t>
      </w:r>
      <w:r>
        <w:rPr>
          <w:lang w:val="en-US"/>
        </w:rPr>
        <w:t>October</w:t>
      </w:r>
      <w:r w:rsidRPr="009A46A4">
        <w:rPr>
          <w:lang w:val="en-US"/>
        </w:rPr>
        <w:t xml:space="preserve"> 201</w:t>
      </w:r>
      <w:r>
        <w:rPr>
          <w:lang w:val="en-US"/>
        </w:rPr>
        <w:t>6</w:t>
      </w:r>
      <w:r w:rsidRPr="009A46A4">
        <w:rPr>
          <w:lang w:val="en-US"/>
        </w:rPr>
        <w:t xml:space="preserve">. The facility was initiated </w:t>
      </w:r>
      <w:r w:rsidR="000446BF">
        <w:rPr>
          <w:lang w:val="en-US"/>
        </w:rPr>
        <w:t>for general corporate purposes</w:t>
      </w:r>
      <w:r>
        <w:rPr>
          <w:lang w:val="en-US"/>
        </w:rPr>
        <w:t xml:space="preserve"> and refinancing of the existing facility</w:t>
      </w:r>
      <w:r w:rsidRPr="009A46A4">
        <w:rPr>
          <w:lang w:val="en-US"/>
        </w:rPr>
        <w:t xml:space="preserve">. </w:t>
      </w:r>
      <w:r>
        <w:rPr>
          <w:lang w:val="en-US"/>
        </w:rPr>
        <w:t>ING’s share is estimated at U</w:t>
      </w:r>
      <w:r w:rsidRPr="009A46A4">
        <w:rPr>
          <w:lang w:val="en-US"/>
        </w:rPr>
        <w:t xml:space="preserve">S$ </w:t>
      </w:r>
      <w:r w:rsidR="00471E0C">
        <w:rPr>
          <w:lang w:val="en-US"/>
        </w:rPr>
        <w:t>333</w:t>
      </w:r>
      <w:r w:rsidRPr="009A46A4">
        <w:rPr>
          <w:lang w:val="en-US"/>
        </w:rPr>
        <w:t xml:space="preserve"> million (€ </w:t>
      </w:r>
      <w:r w:rsidR="00471E0C">
        <w:rPr>
          <w:lang w:val="en-US"/>
        </w:rPr>
        <w:t>235</w:t>
      </w:r>
      <w:r w:rsidRPr="009A46A4">
        <w:rPr>
          <w:lang w:val="en-US"/>
        </w:rPr>
        <w:t xml:space="preserve"> million).</w:t>
      </w:r>
      <w:r w:rsidRPr="00031898">
        <w:rPr>
          <w:rStyle w:val="EndnoteReference"/>
        </w:rPr>
        <w:endnoteReference w:id="21"/>
      </w:r>
    </w:p>
    <w:p w:rsidR="00286738" w:rsidRDefault="00286738" w:rsidP="00F62A16">
      <w:pPr>
        <w:pStyle w:val="Opsomming3"/>
        <w:numPr>
          <w:ilvl w:val="0"/>
          <w:numId w:val="0"/>
        </w:numPr>
        <w:ind w:left="567"/>
        <w:rPr>
          <w:lang w:val="en-US"/>
        </w:rPr>
      </w:pPr>
    </w:p>
    <w:p w:rsidR="00471E0C" w:rsidRPr="009A46A4" w:rsidRDefault="00471E0C" w:rsidP="00F62A16">
      <w:pPr>
        <w:pStyle w:val="Opsomming3"/>
        <w:rPr>
          <w:lang w:val="en-US"/>
        </w:rPr>
      </w:pPr>
      <w:r>
        <w:rPr>
          <w:lang w:val="en-US"/>
        </w:rPr>
        <w:t xml:space="preserve">In December 2012 ING </w:t>
      </w:r>
      <w:r w:rsidRPr="009A46A4">
        <w:rPr>
          <w:lang w:val="en-US"/>
        </w:rPr>
        <w:t xml:space="preserve">participated in a syndicated revolving credit facility for </w:t>
      </w:r>
      <w:r w:rsidRPr="00286738">
        <w:rPr>
          <w:lang w:val="en-US"/>
        </w:rPr>
        <w:t>Archer Daniels Midland</w:t>
      </w:r>
      <w:r w:rsidRPr="009A46A4">
        <w:rPr>
          <w:lang w:val="en-US"/>
        </w:rPr>
        <w:t xml:space="preserve">. The total value of the facility was US$ </w:t>
      </w:r>
      <w:r>
        <w:rPr>
          <w:lang w:val="en-US"/>
        </w:rPr>
        <w:t>4,000</w:t>
      </w:r>
      <w:r w:rsidRPr="009A46A4">
        <w:rPr>
          <w:lang w:val="en-US"/>
        </w:rPr>
        <w:t xml:space="preserve"> million (€ </w:t>
      </w:r>
      <w:r>
        <w:rPr>
          <w:lang w:val="en-US"/>
        </w:rPr>
        <w:t>3,059</w:t>
      </w:r>
      <w:r w:rsidRPr="009A46A4">
        <w:rPr>
          <w:lang w:val="en-US"/>
        </w:rPr>
        <w:t xml:space="preserve"> million)</w:t>
      </w:r>
      <w:r>
        <w:rPr>
          <w:lang w:val="en-US"/>
        </w:rPr>
        <w:t>, consisting of a three-year US$ 2,000 million tranche and a one-year US$ 2,000 million tranche</w:t>
      </w:r>
      <w:r w:rsidRPr="009A46A4">
        <w:rPr>
          <w:lang w:val="en-US"/>
        </w:rPr>
        <w:t xml:space="preserve">. </w:t>
      </w:r>
      <w:r>
        <w:rPr>
          <w:lang w:val="en-US"/>
        </w:rPr>
        <w:t>The banking syndicate consisted of ten</w:t>
      </w:r>
      <w:r w:rsidRPr="009A46A4">
        <w:rPr>
          <w:lang w:val="en-US"/>
        </w:rPr>
        <w:t xml:space="preserve"> banks. The facility was initiated </w:t>
      </w:r>
      <w:r w:rsidR="000446BF">
        <w:rPr>
          <w:lang w:val="en-US"/>
        </w:rPr>
        <w:t>for general corporate purposes</w:t>
      </w:r>
      <w:r>
        <w:rPr>
          <w:lang w:val="en-US"/>
        </w:rPr>
        <w:t xml:space="preserve"> and refinancing of bank debt</w:t>
      </w:r>
      <w:r w:rsidRPr="009A46A4">
        <w:rPr>
          <w:lang w:val="en-US"/>
        </w:rPr>
        <w:t xml:space="preserve">. </w:t>
      </w:r>
      <w:r>
        <w:rPr>
          <w:lang w:val="en-US"/>
        </w:rPr>
        <w:t>ING’s share is estimated at U</w:t>
      </w:r>
      <w:r w:rsidRPr="009A46A4">
        <w:rPr>
          <w:lang w:val="en-US"/>
        </w:rPr>
        <w:t xml:space="preserve">S$ </w:t>
      </w:r>
      <w:r>
        <w:rPr>
          <w:lang w:val="en-US"/>
        </w:rPr>
        <w:t>400</w:t>
      </w:r>
      <w:r w:rsidRPr="009A46A4">
        <w:rPr>
          <w:lang w:val="en-US"/>
        </w:rPr>
        <w:t xml:space="preserve"> million (€ </w:t>
      </w:r>
      <w:r>
        <w:rPr>
          <w:lang w:val="en-US"/>
        </w:rPr>
        <w:t>306</w:t>
      </w:r>
      <w:r w:rsidRPr="009A46A4">
        <w:rPr>
          <w:lang w:val="en-US"/>
        </w:rPr>
        <w:t xml:space="preserve"> million).</w:t>
      </w:r>
      <w:r w:rsidRPr="00031898">
        <w:rPr>
          <w:rStyle w:val="EndnoteReference"/>
        </w:rPr>
        <w:endnoteReference w:id="22"/>
      </w:r>
    </w:p>
    <w:p w:rsidR="00286738" w:rsidRDefault="00286738" w:rsidP="00887051">
      <w:pPr>
        <w:rPr>
          <w:lang w:val="en-US"/>
        </w:rPr>
      </w:pPr>
    </w:p>
    <w:p w:rsidR="00887051" w:rsidRPr="009A46A4" w:rsidRDefault="00887051" w:rsidP="00F62A16">
      <w:pPr>
        <w:pStyle w:val="Opsomming1"/>
        <w:rPr>
          <w:lang w:val="en-US"/>
        </w:rPr>
      </w:pPr>
      <w:r w:rsidRPr="009A46A4">
        <w:rPr>
          <w:lang w:val="en-US"/>
        </w:rPr>
        <w:t>Bunge:</w:t>
      </w:r>
    </w:p>
    <w:p w:rsidR="00887051" w:rsidRDefault="00887051" w:rsidP="00F62A16">
      <w:pPr>
        <w:pStyle w:val="Opsomming3"/>
        <w:rPr>
          <w:lang w:val="en-US"/>
        </w:rPr>
      </w:pPr>
      <w:r>
        <w:rPr>
          <w:lang w:val="en-US"/>
        </w:rPr>
        <w:t xml:space="preserve">In March 2011 ING </w:t>
      </w:r>
      <w:r w:rsidRPr="009A46A4">
        <w:rPr>
          <w:lang w:val="en-US"/>
        </w:rPr>
        <w:t xml:space="preserve">participated in a syndicated revolving credit facility for </w:t>
      </w:r>
      <w:r>
        <w:rPr>
          <w:lang w:val="en-US"/>
        </w:rPr>
        <w:t>Bunge</w:t>
      </w:r>
      <w:r w:rsidRPr="009A46A4">
        <w:rPr>
          <w:lang w:val="en-US"/>
        </w:rPr>
        <w:t>. The total value of the facility was US$ 1,</w:t>
      </w:r>
      <w:r>
        <w:rPr>
          <w:lang w:val="en-US"/>
        </w:rPr>
        <w:t>75</w:t>
      </w:r>
      <w:r w:rsidRPr="009A46A4">
        <w:rPr>
          <w:lang w:val="en-US"/>
        </w:rPr>
        <w:t xml:space="preserve">0 million (€ </w:t>
      </w:r>
      <w:r>
        <w:rPr>
          <w:lang w:val="en-US"/>
        </w:rPr>
        <w:t>1,232</w:t>
      </w:r>
      <w:r w:rsidRPr="009A46A4">
        <w:rPr>
          <w:lang w:val="en-US"/>
        </w:rPr>
        <w:t xml:space="preserve"> million). </w:t>
      </w:r>
      <w:r w:rsidR="006C235F">
        <w:rPr>
          <w:lang w:val="en-US"/>
        </w:rPr>
        <w:t>ING was one of the 11 lead arrangers for the credit facility. The total banking syndicate consisted of 37</w:t>
      </w:r>
      <w:r w:rsidR="006C235F" w:rsidRPr="009A46A4">
        <w:rPr>
          <w:lang w:val="en-US"/>
        </w:rPr>
        <w:t xml:space="preserve"> banks.</w:t>
      </w:r>
      <w:r w:rsidR="006C235F">
        <w:rPr>
          <w:lang w:val="en-US"/>
        </w:rPr>
        <w:t xml:space="preserve"> </w:t>
      </w:r>
      <w:r w:rsidRPr="009A46A4">
        <w:rPr>
          <w:lang w:val="en-US"/>
        </w:rPr>
        <w:t xml:space="preserve">The maturity date is in </w:t>
      </w:r>
      <w:r>
        <w:rPr>
          <w:lang w:val="en-US"/>
        </w:rPr>
        <w:t>March</w:t>
      </w:r>
      <w:r w:rsidRPr="009A46A4">
        <w:rPr>
          <w:lang w:val="en-US"/>
        </w:rPr>
        <w:t xml:space="preserve"> 201</w:t>
      </w:r>
      <w:r>
        <w:rPr>
          <w:lang w:val="en-US"/>
        </w:rPr>
        <w:t>4</w:t>
      </w:r>
      <w:r w:rsidRPr="009A46A4">
        <w:rPr>
          <w:lang w:val="en-US"/>
        </w:rPr>
        <w:t xml:space="preserve">. The facility was initiated </w:t>
      </w:r>
      <w:r w:rsidR="000446BF">
        <w:rPr>
          <w:lang w:val="en-US"/>
        </w:rPr>
        <w:t>for general corporate purposes</w:t>
      </w:r>
      <w:r>
        <w:rPr>
          <w:lang w:val="en-US"/>
        </w:rPr>
        <w:t>, working capital and refinancing of bank debt</w:t>
      </w:r>
      <w:r w:rsidRPr="009A46A4">
        <w:rPr>
          <w:lang w:val="en-US"/>
        </w:rPr>
        <w:t>.</w:t>
      </w:r>
      <w:r w:rsidR="006C235F" w:rsidRPr="006C235F">
        <w:rPr>
          <w:lang w:val="en-US"/>
        </w:rPr>
        <w:t xml:space="preserve"> </w:t>
      </w:r>
      <w:r w:rsidR="006C235F">
        <w:rPr>
          <w:lang w:val="en-US"/>
        </w:rPr>
        <w:t xml:space="preserve">ING committed an amount of </w:t>
      </w:r>
      <w:r w:rsidR="006C235F" w:rsidRPr="009A46A4">
        <w:rPr>
          <w:lang w:val="en-US"/>
        </w:rPr>
        <w:t xml:space="preserve">US$ </w:t>
      </w:r>
      <w:r w:rsidR="006C235F">
        <w:rPr>
          <w:lang w:val="en-US"/>
        </w:rPr>
        <w:t>65</w:t>
      </w:r>
      <w:r w:rsidR="006C235F" w:rsidRPr="009A46A4">
        <w:rPr>
          <w:lang w:val="en-US"/>
        </w:rPr>
        <w:t xml:space="preserve"> million (€ </w:t>
      </w:r>
      <w:r w:rsidR="006C235F">
        <w:rPr>
          <w:lang w:val="en-US"/>
        </w:rPr>
        <w:t>46</w:t>
      </w:r>
      <w:r w:rsidR="006C235F" w:rsidRPr="009A46A4">
        <w:rPr>
          <w:lang w:val="en-US"/>
        </w:rPr>
        <w:t xml:space="preserve"> million).</w:t>
      </w:r>
      <w:r w:rsidR="006C235F" w:rsidRPr="00031898">
        <w:rPr>
          <w:rStyle w:val="EndnoteReference"/>
        </w:rPr>
        <w:endnoteReference w:id="23"/>
      </w:r>
    </w:p>
    <w:p w:rsidR="000446BF" w:rsidRDefault="000446BF" w:rsidP="00F62A16">
      <w:pPr>
        <w:pStyle w:val="Opsomming3"/>
        <w:numPr>
          <w:ilvl w:val="0"/>
          <w:numId w:val="0"/>
        </w:numPr>
        <w:ind w:left="567"/>
        <w:rPr>
          <w:lang w:val="en-US"/>
        </w:rPr>
      </w:pPr>
    </w:p>
    <w:p w:rsidR="000446BF" w:rsidRPr="009A46A4" w:rsidRDefault="000446BF" w:rsidP="00F62A16">
      <w:pPr>
        <w:pStyle w:val="Opsomming3"/>
        <w:rPr>
          <w:lang w:val="en-US"/>
        </w:rPr>
      </w:pPr>
      <w:r>
        <w:rPr>
          <w:lang w:val="en-US"/>
        </w:rPr>
        <w:t xml:space="preserve">In November 2011 ING </w:t>
      </w:r>
      <w:r w:rsidRPr="009A46A4">
        <w:rPr>
          <w:lang w:val="en-US"/>
        </w:rPr>
        <w:t xml:space="preserve">participated in a syndicated revolving credit facility for </w:t>
      </w:r>
      <w:r>
        <w:rPr>
          <w:lang w:val="en-US"/>
        </w:rPr>
        <w:t>Bunge</w:t>
      </w:r>
      <w:r w:rsidRPr="009A46A4">
        <w:rPr>
          <w:lang w:val="en-US"/>
        </w:rPr>
        <w:t>. The total value of the facility was US$ 1,</w:t>
      </w:r>
      <w:r>
        <w:rPr>
          <w:lang w:val="en-US"/>
        </w:rPr>
        <w:t>600</w:t>
      </w:r>
      <w:r w:rsidRPr="009A46A4">
        <w:rPr>
          <w:lang w:val="en-US"/>
        </w:rPr>
        <w:t xml:space="preserve"> million (€ </w:t>
      </w:r>
      <w:r>
        <w:rPr>
          <w:lang w:val="en-US"/>
        </w:rPr>
        <w:t>1,189</w:t>
      </w:r>
      <w:r w:rsidRPr="009A46A4">
        <w:rPr>
          <w:lang w:val="en-US"/>
        </w:rPr>
        <w:t xml:space="preserve"> million).</w:t>
      </w:r>
      <w:r w:rsidR="001D48CB">
        <w:rPr>
          <w:lang w:val="en-US"/>
        </w:rPr>
        <w:t xml:space="preserve"> The facility was split into two tranches with 24 banks participating in the US$ 1,000 million tranche and 19 banks participating in the US$ 600 million tranche.</w:t>
      </w:r>
      <w:r w:rsidRPr="009A46A4">
        <w:rPr>
          <w:lang w:val="en-US"/>
        </w:rPr>
        <w:t xml:space="preserve"> The maturity date</w:t>
      </w:r>
      <w:r w:rsidR="001D48CB">
        <w:rPr>
          <w:lang w:val="en-US"/>
        </w:rPr>
        <w:t xml:space="preserve"> of both tranches</w:t>
      </w:r>
      <w:r w:rsidRPr="009A46A4">
        <w:rPr>
          <w:lang w:val="en-US"/>
        </w:rPr>
        <w:t xml:space="preserve"> is in </w:t>
      </w:r>
      <w:r w:rsidR="001D48CB">
        <w:rPr>
          <w:lang w:val="en-US"/>
        </w:rPr>
        <w:t>November</w:t>
      </w:r>
      <w:r w:rsidRPr="009A46A4">
        <w:rPr>
          <w:lang w:val="en-US"/>
        </w:rPr>
        <w:t xml:space="preserve"> 201</w:t>
      </w:r>
      <w:r w:rsidR="001D48CB">
        <w:rPr>
          <w:lang w:val="en-US"/>
        </w:rPr>
        <w:t>6</w:t>
      </w:r>
      <w:r w:rsidRPr="009A46A4">
        <w:rPr>
          <w:lang w:val="en-US"/>
        </w:rPr>
        <w:t xml:space="preserve">. The facility was initiated </w:t>
      </w:r>
      <w:r w:rsidR="001D48CB">
        <w:rPr>
          <w:lang w:val="en-US"/>
        </w:rPr>
        <w:t>for general corporate purposes</w:t>
      </w:r>
      <w:r>
        <w:rPr>
          <w:lang w:val="en-US"/>
        </w:rPr>
        <w:t xml:space="preserve"> and refinancing of bank debt</w:t>
      </w:r>
      <w:r w:rsidRPr="009A46A4">
        <w:rPr>
          <w:lang w:val="en-US"/>
        </w:rPr>
        <w:t>.</w:t>
      </w:r>
      <w:r w:rsidRPr="006C235F">
        <w:rPr>
          <w:lang w:val="en-US"/>
        </w:rPr>
        <w:t xml:space="preserve"> </w:t>
      </w:r>
      <w:r>
        <w:rPr>
          <w:lang w:val="en-US"/>
        </w:rPr>
        <w:t xml:space="preserve">ING committed an amount of </w:t>
      </w:r>
      <w:r w:rsidRPr="009A46A4">
        <w:rPr>
          <w:lang w:val="en-US"/>
        </w:rPr>
        <w:t xml:space="preserve">US$ </w:t>
      </w:r>
      <w:r w:rsidR="001D48CB">
        <w:rPr>
          <w:lang w:val="en-US"/>
        </w:rPr>
        <w:t>50</w:t>
      </w:r>
      <w:r w:rsidRPr="009A46A4">
        <w:rPr>
          <w:lang w:val="en-US"/>
        </w:rPr>
        <w:t xml:space="preserve"> million (€ </w:t>
      </w:r>
      <w:r w:rsidR="001D48CB">
        <w:rPr>
          <w:lang w:val="en-US"/>
        </w:rPr>
        <w:t>37</w:t>
      </w:r>
      <w:r w:rsidRPr="009A46A4">
        <w:rPr>
          <w:lang w:val="en-US"/>
        </w:rPr>
        <w:t xml:space="preserve"> million).</w:t>
      </w:r>
      <w:r w:rsidRPr="00031898">
        <w:rPr>
          <w:rStyle w:val="EndnoteReference"/>
        </w:rPr>
        <w:endnoteReference w:id="24"/>
      </w:r>
    </w:p>
    <w:p w:rsidR="0063322A" w:rsidRDefault="0063322A" w:rsidP="00415768">
      <w:pPr>
        <w:rPr>
          <w:lang w:val="en-US"/>
        </w:rPr>
      </w:pPr>
    </w:p>
    <w:p w:rsidR="00A72C16" w:rsidRPr="009A46A4" w:rsidRDefault="00A72C16" w:rsidP="00F62A16">
      <w:pPr>
        <w:pStyle w:val="Opsomming1"/>
        <w:rPr>
          <w:lang w:val="en-US"/>
        </w:rPr>
      </w:pPr>
      <w:r>
        <w:rPr>
          <w:lang w:val="en-US"/>
        </w:rPr>
        <w:t>Cargill</w:t>
      </w:r>
      <w:r w:rsidRPr="009A46A4">
        <w:rPr>
          <w:lang w:val="en-US"/>
        </w:rPr>
        <w:t>:</w:t>
      </w:r>
    </w:p>
    <w:p w:rsidR="002A1B13" w:rsidRDefault="002A1B13" w:rsidP="00F62A16">
      <w:pPr>
        <w:pStyle w:val="Opsomming3"/>
        <w:rPr>
          <w:lang w:val="en-US"/>
        </w:rPr>
      </w:pPr>
      <w:r>
        <w:rPr>
          <w:lang w:val="en-US"/>
        </w:rPr>
        <w:t xml:space="preserve">In September 2010 ING </w:t>
      </w:r>
      <w:r w:rsidRPr="009A46A4">
        <w:rPr>
          <w:lang w:val="en-US"/>
        </w:rPr>
        <w:t xml:space="preserve">participated in a syndicated revolving credit facility for </w:t>
      </w:r>
      <w:r>
        <w:rPr>
          <w:lang w:val="en-US"/>
        </w:rPr>
        <w:t>Cargill</w:t>
      </w:r>
      <w:r w:rsidRPr="009A46A4">
        <w:rPr>
          <w:lang w:val="en-US"/>
        </w:rPr>
        <w:t xml:space="preserve">. The total value of the facility was US$ </w:t>
      </w:r>
      <w:r>
        <w:rPr>
          <w:lang w:val="en-US"/>
        </w:rPr>
        <w:t>5,000</w:t>
      </w:r>
      <w:r w:rsidRPr="009A46A4">
        <w:rPr>
          <w:lang w:val="en-US"/>
        </w:rPr>
        <w:t xml:space="preserve"> million (€ </w:t>
      </w:r>
      <w:r>
        <w:rPr>
          <w:lang w:val="en-US"/>
        </w:rPr>
        <w:t>3,589</w:t>
      </w:r>
      <w:r w:rsidRPr="009A46A4">
        <w:rPr>
          <w:lang w:val="en-US"/>
        </w:rPr>
        <w:t xml:space="preserve"> million)</w:t>
      </w:r>
      <w:r>
        <w:rPr>
          <w:lang w:val="en-US"/>
        </w:rPr>
        <w:t>, consisting of a three-year US$ 2,500 million tranche and an one-year US$ 2,500 million tranche</w:t>
      </w:r>
      <w:r w:rsidRPr="009A46A4">
        <w:rPr>
          <w:lang w:val="en-US"/>
        </w:rPr>
        <w:t xml:space="preserve">. </w:t>
      </w:r>
      <w:r>
        <w:rPr>
          <w:lang w:val="en-US"/>
        </w:rPr>
        <w:t>The banking syndicate consisted of 34</w:t>
      </w:r>
      <w:r w:rsidRPr="009A46A4">
        <w:rPr>
          <w:lang w:val="en-US"/>
        </w:rPr>
        <w:t xml:space="preserve"> banks.</w:t>
      </w:r>
      <w:r>
        <w:rPr>
          <w:lang w:val="en-US"/>
        </w:rPr>
        <w:t xml:space="preserve"> </w:t>
      </w:r>
      <w:r w:rsidRPr="009A46A4">
        <w:rPr>
          <w:lang w:val="en-US"/>
        </w:rPr>
        <w:t xml:space="preserve">The facility was initiated </w:t>
      </w:r>
      <w:r>
        <w:rPr>
          <w:lang w:val="en-US"/>
        </w:rPr>
        <w:t>for refinancing of bank debt and as a standby facility</w:t>
      </w:r>
      <w:r w:rsidRPr="009A46A4">
        <w:rPr>
          <w:lang w:val="en-US"/>
        </w:rPr>
        <w:t xml:space="preserve">. </w:t>
      </w:r>
      <w:r>
        <w:rPr>
          <w:lang w:val="en-US"/>
        </w:rPr>
        <w:t>ING’s share is estimated at U</w:t>
      </w:r>
      <w:r w:rsidRPr="009A46A4">
        <w:rPr>
          <w:lang w:val="en-US"/>
        </w:rPr>
        <w:t xml:space="preserve">S$ </w:t>
      </w:r>
      <w:r>
        <w:rPr>
          <w:lang w:val="en-US"/>
        </w:rPr>
        <w:t>147</w:t>
      </w:r>
      <w:r w:rsidRPr="009A46A4">
        <w:rPr>
          <w:lang w:val="en-US"/>
        </w:rPr>
        <w:t xml:space="preserve"> million (€ </w:t>
      </w:r>
      <w:r>
        <w:rPr>
          <w:lang w:val="en-US"/>
        </w:rPr>
        <w:t>105</w:t>
      </w:r>
      <w:r w:rsidRPr="009A46A4">
        <w:rPr>
          <w:lang w:val="en-US"/>
        </w:rPr>
        <w:t xml:space="preserve"> million).</w:t>
      </w:r>
      <w:r w:rsidRPr="00031898">
        <w:rPr>
          <w:rStyle w:val="EndnoteReference"/>
        </w:rPr>
        <w:endnoteReference w:id="25"/>
      </w:r>
    </w:p>
    <w:p w:rsidR="002A1B13" w:rsidRDefault="002A1B13" w:rsidP="00F62A16">
      <w:pPr>
        <w:pStyle w:val="Opsomming3"/>
        <w:numPr>
          <w:ilvl w:val="0"/>
          <w:numId w:val="0"/>
        </w:numPr>
        <w:ind w:left="567"/>
        <w:rPr>
          <w:lang w:val="en-US"/>
        </w:rPr>
      </w:pPr>
    </w:p>
    <w:p w:rsidR="002A1B13" w:rsidRPr="009A46A4" w:rsidRDefault="002A1B13" w:rsidP="00F62A16">
      <w:pPr>
        <w:pStyle w:val="Opsomming3"/>
        <w:rPr>
          <w:lang w:val="en-US"/>
        </w:rPr>
      </w:pPr>
      <w:r>
        <w:rPr>
          <w:lang w:val="en-US"/>
        </w:rPr>
        <w:t xml:space="preserve">In February 2011 ING </w:t>
      </w:r>
      <w:r w:rsidRPr="009A46A4">
        <w:rPr>
          <w:lang w:val="en-US"/>
        </w:rPr>
        <w:t xml:space="preserve">participated in a syndicated revolving credit facility for </w:t>
      </w:r>
      <w:r>
        <w:rPr>
          <w:lang w:val="en-US"/>
        </w:rPr>
        <w:t>Cargill</w:t>
      </w:r>
      <w:r w:rsidRPr="009A46A4">
        <w:rPr>
          <w:lang w:val="en-US"/>
        </w:rPr>
        <w:t>. The total value of the facility was US$ 1,</w:t>
      </w:r>
      <w:r>
        <w:rPr>
          <w:lang w:val="en-US"/>
        </w:rPr>
        <w:t>25</w:t>
      </w:r>
      <w:r w:rsidRPr="009A46A4">
        <w:rPr>
          <w:lang w:val="en-US"/>
        </w:rPr>
        <w:t xml:space="preserve">0 million (€ </w:t>
      </w:r>
      <w:r>
        <w:rPr>
          <w:lang w:val="en-US"/>
        </w:rPr>
        <w:t>888</w:t>
      </w:r>
      <w:r w:rsidRPr="009A46A4">
        <w:rPr>
          <w:lang w:val="en-US"/>
        </w:rPr>
        <w:t xml:space="preserve"> million). </w:t>
      </w:r>
      <w:r>
        <w:rPr>
          <w:lang w:val="en-US"/>
        </w:rPr>
        <w:t>The banking syndicate consisted of 23</w:t>
      </w:r>
      <w:r w:rsidRPr="009A46A4">
        <w:rPr>
          <w:lang w:val="en-US"/>
        </w:rPr>
        <w:t xml:space="preserve"> banks. The maturity date </w:t>
      </w:r>
      <w:r>
        <w:rPr>
          <w:lang w:val="en-US"/>
        </w:rPr>
        <w:t>was</w:t>
      </w:r>
      <w:r w:rsidRPr="009A46A4">
        <w:rPr>
          <w:lang w:val="en-US"/>
        </w:rPr>
        <w:t xml:space="preserve"> in </w:t>
      </w:r>
      <w:r>
        <w:rPr>
          <w:lang w:val="en-US"/>
        </w:rPr>
        <w:t>March</w:t>
      </w:r>
      <w:r w:rsidRPr="009A46A4">
        <w:rPr>
          <w:lang w:val="en-US"/>
        </w:rPr>
        <w:t xml:space="preserve"> 201</w:t>
      </w:r>
      <w:r>
        <w:rPr>
          <w:lang w:val="en-US"/>
        </w:rPr>
        <w:t>2</w:t>
      </w:r>
      <w:r w:rsidRPr="009A46A4">
        <w:rPr>
          <w:lang w:val="en-US"/>
        </w:rPr>
        <w:t xml:space="preserve">. The facility was initiated </w:t>
      </w:r>
      <w:r>
        <w:rPr>
          <w:lang w:val="en-US"/>
        </w:rPr>
        <w:t>for general corporate and working capital purposes</w:t>
      </w:r>
      <w:r w:rsidRPr="009A46A4">
        <w:rPr>
          <w:lang w:val="en-US"/>
        </w:rPr>
        <w:t xml:space="preserve">. </w:t>
      </w:r>
      <w:r>
        <w:rPr>
          <w:lang w:val="en-US"/>
        </w:rPr>
        <w:t xml:space="preserve">ING committed an amount of </w:t>
      </w:r>
      <w:r w:rsidRPr="009A46A4">
        <w:rPr>
          <w:lang w:val="en-US"/>
        </w:rPr>
        <w:t xml:space="preserve">US$ </w:t>
      </w:r>
      <w:r>
        <w:rPr>
          <w:lang w:val="en-US"/>
        </w:rPr>
        <w:t>60</w:t>
      </w:r>
      <w:r w:rsidRPr="009A46A4">
        <w:rPr>
          <w:lang w:val="en-US"/>
        </w:rPr>
        <w:t xml:space="preserve"> million (€ </w:t>
      </w:r>
      <w:r>
        <w:rPr>
          <w:lang w:val="en-US"/>
        </w:rPr>
        <w:t>43</w:t>
      </w:r>
      <w:r w:rsidRPr="009A46A4">
        <w:rPr>
          <w:lang w:val="en-US"/>
        </w:rPr>
        <w:t xml:space="preserve"> million).</w:t>
      </w:r>
      <w:r w:rsidRPr="00031898">
        <w:rPr>
          <w:rStyle w:val="EndnoteReference"/>
        </w:rPr>
        <w:endnoteReference w:id="26"/>
      </w:r>
    </w:p>
    <w:p w:rsidR="002A1B13" w:rsidRDefault="002A1B13" w:rsidP="00F62A16">
      <w:pPr>
        <w:pStyle w:val="Opsomming3"/>
        <w:numPr>
          <w:ilvl w:val="0"/>
          <w:numId w:val="0"/>
        </w:numPr>
        <w:ind w:left="567"/>
        <w:rPr>
          <w:lang w:val="en-US"/>
        </w:rPr>
      </w:pPr>
    </w:p>
    <w:p w:rsidR="00711B74" w:rsidRPr="009A46A4" w:rsidRDefault="00711B74" w:rsidP="00F62A16">
      <w:pPr>
        <w:pStyle w:val="Opsomming3"/>
        <w:rPr>
          <w:lang w:val="en-US"/>
        </w:rPr>
      </w:pPr>
      <w:r>
        <w:rPr>
          <w:lang w:val="en-US"/>
        </w:rPr>
        <w:lastRenderedPageBreak/>
        <w:t xml:space="preserve">In September 2011 ING </w:t>
      </w:r>
      <w:r w:rsidRPr="009A46A4">
        <w:rPr>
          <w:lang w:val="en-US"/>
        </w:rPr>
        <w:t xml:space="preserve">participated in a syndicated revolving credit facility for </w:t>
      </w:r>
      <w:r>
        <w:rPr>
          <w:lang w:val="en-US"/>
        </w:rPr>
        <w:t>Cargill</w:t>
      </w:r>
      <w:r w:rsidRPr="009A46A4">
        <w:rPr>
          <w:lang w:val="en-US"/>
        </w:rPr>
        <w:t xml:space="preserve">. The total value of the facility was US$ </w:t>
      </w:r>
      <w:r>
        <w:rPr>
          <w:lang w:val="en-US"/>
        </w:rPr>
        <w:t>5,000</w:t>
      </w:r>
      <w:r w:rsidRPr="009A46A4">
        <w:rPr>
          <w:lang w:val="en-US"/>
        </w:rPr>
        <w:t xml:space="preserve"> million (€ </w:t>
      </w:r>
      <w:r>
        <w:rPr>
          <w:lang w:val="en-US"/>
        </w:rPr>
        <w:t>3,524</w:t>
      </w:r>
      <w:r w:rsidRPr="009A46A4">
        <w:rPr>
          <w:lang w:val="en-US"/>
        </w:rPr>
        <w:t xml:space="preserve"> million)</w:t>
      </w:r>
      <w:r>
        <w:rPr>
          <w:lang w:val="en-US"/>
        </w:rPr>
        <w:t>, consisting of an one-year US$ 2,500 million tranche and a five-year US$ 2,500 million tranche</w:t>
      </w:r>
      <w:r w:rsidRPr="009A46A4">
        <w:rPr>
          <w:lang w:val="en-US"/>
        </w:rPr>
        <w:t xml:space="preserve">. </w:t>
      </w:r>
      <w:r>
        <w:rPr>
          <w:lang w:val="en-US"/>
        </w:rPr>
        <w:t>The banking syndicate consisted of 13</w:t>
      </w:r>
      <w:r w:rsidRPr="009A46A4">
        <w:rPr>
          <w:lang w:val="en-US"/>
        </w:rPr>
        <w:t xml:space="preserve"> banks</w:t>
      </w:r>
      <w:r>
        <w:rPr>
          <w:lang w:val="en-US"/>
        </w:rPr>
        <w:t xml:space="preserve"> and was led by five banks</w:t>
      </w:r>
      <w:r w:rsidRPr="009A46A4">
        <w:rPr>
          <w:lang w:val="en-US"/>
        </w:rPr>
        <w:t xml:space="preserve">. The facility was initiated </w:t>
      </w:r>
      <w:r>
        <w:rPr>
          <w:lang w:val="en-US"/>
        </w:rPr>
        <w:t>for general corporate purposes and refinancing of bank debt.</w:t>
      </w:r>
      <w:r w:rsidRPr="00711B74">
        <w:rPr>
          <w:lang w:val="en-US"/>
        </w:rPr>
        <w:t xml:space="preserve"> </w:t>
      </w:r>
      <w:r>
        <w:rPr>
          <w:lang w:val="en-US"/>
        </w:rPr>
        <w:t>ING’s share is estimated at U</w:t>
      </w:r>
      <w:r w:rsidRPr="009A46A4">
        <w:rPr>
          <w:lang w:val="en-US"/>
        </w:rPr>
        <w:t xml:space="preserve">S$ </w:t>
      </w:r>
      <w:r>
        <w:rPr>
          <w:lang w:val="en-US"/>
        </w:rPr>
        <w:t>156</w:t>
      </w:r>
      <w:r w:rsidRPr="009A46A4">
        <w:rPr>
          <w:lang w:val="en-US"/>
        </w:rPr>
        <w:t xml:space="preserve"> million (€ </w:t>
      </w:r>
      <w:r>
        <w:rPr>
          <w:lang w:val="en-US"/>
        </w:rPr>
        <w:t>110</w:t>
      </w:r>
      <w:r w:rsidRPr="009A46A4">
        <w:rPr>
          <w:lang w:val="en-US"/>
        </w:rPr>
        <w:t xml:space="preserve"> million).</w:t>
      </w:r>
      <w:r w:rsidRPr="00031898">
        <w:rPr>
          <w:rStyle w:val="EndnoteReference"/>
        </w:rPr>
        <w:endnoteReference w:id="27"/>
      </w:r>
    </w:p>
    <w:p w:rsidR="00711B74" w:rsidRPr="009A46A4" w:rsidRDefault="00711B74" w:rsidP="002A1B13">
      <w:pPr>
        <w:pStyle w:val="ListParagraph"/>
        <w:rPr>
          <w:lang w:val="en-US"/>
        </w:rPr>
      </w:pPr>
    </w:p>
    <w:p w:rsidR="00A72C16" w:rsidRPr="009A46A4" w:rsidRDefault="00A72C16" w:rsidP="00F62A16">
      <w:pPr>
        <w:pStyle w:val="Opsomming3"/>
        <w:rPr>
          <w:lang w:val="en-US"/>
        </w:rPr>
      </w:pPr>
      <w:r>
        <w:rPr>
          <w:lang w:val="en-US"/>
        </w:rPr>
        <w:t xml:space="preserve">In February 2012 ING </w:t>
      </w:r>
      <w:r w:rsidRPr="009A46A4">
        <w:rPr>
          <w:lang w:val="en-US"/>
        </w:rPr>
        <w:t xml:space="preserve">participated in a syndicated revolving credit facility for </w:t>
      </w:r>
      <w:r>
        <w:rPr>
          <w:lang w:val="en-US"/>
        </w:rPr>
        <w:t>Cargill</w:t>
      </w:r>
      <w:r w:rsidRPr="009A46A4">
        <w:rPr>
          <w:lang w:val="en-US"/>
        </w:rPr>
        <w:t>. The total value of the facility was US$ 1,</w:t>
      </w:r>
      <w:r>
        <w:rPr>
          <w:lang w:val="en-US"/>
        </w:rPr>
        <w:t>25</w:t>
      </w:r>
      <w:r w:rsidRPr="009A46A4">
        <w:rPr>
          <w:lang w:val="en-US"/>
        </w:rPr>
        <w:t xml:space="preserve">0 million (€ </w:t>
      </w:r>
      <w:r>
        <w:rPr>
          <w:lang w:val="en-US"/>
        </w:rPr>
        <w:t>946</w:t>
      </w:r>
      <w:r w:rsidRPr="009A46A4">
        <w:rPr>
          <w:lang w:val="en-US"/>
        </w:rPr>
        <w:t xml:space="preserve"> million). </w:t>
      </w:r>
      <w:r>
        <w:rPr>
          <w:lang w:val="en-US"/>
        </w:rPr>
        <w:t>The banking syndicate consisted of 25</w:t>
      </w:r>
      <w:r w:rsidRPr="009A46A4">
        <w:rPr>
          <w:lang w:val="en-US"/>
        </w:rPr>
        <w:t xml:space="preserve"> banks. The maturity date </w:t>
      </w:r>
      <w:r w:rsidR="003E1169">
        <w:rPr>
          <w:lang w:val="en-US"/>
        </w:rPr>
        <w:t>was</w:t>
      </w:r>
      <w:r w:rsidRPr="009A46A4">
        <w:rPr>
          <w:lang w:val="en-US"/>
        </w:rPr>
        <w:t xml:space="preserve"> in </w:t>
      </w:r>
      <w:r>
        <w:rPr>
          <w:lang w:val="en-US"/>
        </w:rPr>
        <w:t>March</w:t>
      </w:r>
      <w:r w:rsidRPr="009A46A4">
        <w:rPr>
          <w:lang w:val="en-US"/>
        </w:rPr>
        <w:t xml:space="preserve"> 201</w:t>
      </w:r>
      <w:r>
        <w:rPr>
          <w:lang w:val="en-US"/>
        </w:rPr>
        <w:t>3</w:t>
      </w:r>
      <w:r w:rsidRPr="009A46A4">
        <w:rPr>
          <w:lang w:val="en-US"/>
        </w:rPr>
        <w:t xml:space="preserve">. The facility was initiated </w:t>
      </w:r>
      <w:r w:rsidR="000446BF">
        <w:rPr>
          <w:lang w:val="en-US"/>
        </w:rPr>
        <w:t>for general corporate purposes</w:t>
      </w:r>
      <w:r>
        <w:rPr>
          <w:lang w:val="en-US"/>
        </w:rPr>
        <w:t>, working capital and refinancing of bank debt</w:t>
      </w:r>
      <w:r w:rsidRPr="009A46A4">
        <w:rPr>
          <w:lang w:val="en-US"/>
        </w:rPr>
        <w:t xml:space="preserve">. </w:t>
      </w:r>
      <w:r>
        <w:rPr>
          <w:lang w:val="en-US"/>
        </w:rPr>
        <w:t>ING’s share is estimated at U</w:t>
      </w:r>
      <w:r w:rsidRPr="009A46A4">
        <w:rPr>
          <w:lang w:val="en-US"/>
        </w:rPr>
        <w:t xml:space="preserve">S$ </w:t>
      </w:r>
      <w:r>
        <w:rPr>
          <w:lang w:val="en-US"/>
        </w:rPr>
        <w:t>50</w:t>
      </w:r>
      <w:r w:rsidRPr="009A46A4">
        <w:rPr>
          <w:lang w:val="en-US"/>
        </w:rPr>
        <w:t xml:space="preserve"> million (€ </w:t>
      </w:r>
      <w:r>
        <w:rPr>
          <w:lang w:val="en-US"/>
        </w:rPr>
        <w:t>38</w:t>
      </w:r>
      <w:r w:rsidRPr="009A46A4">
        <w:rPr>
          <w:lang w:val="en-US"/>
        </w:rPr>
        <w:t xml:space="preserve"> million).</w:t>
      </w:r>
      <w:r w:rsidRPr="00031898">
        <w:rPr>
          <w:rStyle w:val="EndnoteReference"/>
        </w:rPr>
        <w:endnoteReference w:id="28"/>
      </w:r>
    </w:p>
    <w:p w:rsidR="00A72C16" w:rsidRDefault="00A72C16" w:rsidP="00F62A16">
      <w:pPr>
        <w:pStyle w:val="Opsomming3"/>
        <w:numPr>
          <w:ilvl w:val="0"/>
          <w:numId w:val="0"/>
        </w:numPr>
        <w:ind w:left="567"/>
        <w:rPr>
          <w:lang w:val="en-US"/>
        </w:rPr>
      </w:pPr>
    </w:p>
    <w:p w:rsidR="00B00505" w:rsidRPr="009A46A4" w:rsidRDefault="00B00505" w:rsidP="00F62A16">
      <w:pPr>
        <w:pStyle w:val="Opsomming3"/>
        <w:rPr>
          <w:lang w:val="en-US"/>
        </w:rPr>
      </w:pPr>
      <w:r>
        <w:rPr>
          <w:lang w:val="en-US"/>
        </w:rPr>
        <w:t xml:space="preserve">In September 2012 ING </w:t>
      </w:r>
      <w:r w:rsidRPr="009A46A4">
        <w:rPr>
          <w:lang w:val="en-US"/>
        </w:rPr>
        <w:t xml:space="preserve">participated in a syndicated revolving credit facility for </w:t>
      </w:r>
      <w:r>
        <w:rPr>
          <w:lang w:val="en-US"/>
        </w:rPr>
        <w:t>Cargill</w:t>
      </w:r>
      <w:r w:rsidRPr="009A46A4">
        <w:rPr>
          <w:lang w:val="en-US"/>
        </w:rPr>
        <w:t xml:space="preserve">. The total value of the facility was US$ </w:t>
      </w:r>
      <w:r>
        <w:rPr>
          <w:lang w:val="en-US"/>
        </w:rPr>
        <w:t>5,000</w:t>
      </w:r>
      <w:r w:rsidRPr="009A46A4">
        <w:rPr>
          <w:lang w:val="en-US"/>
        </w:rPr>
        <w:t xml:space="preserve"> million (€ </w:t>
      </w:r>
      <w:r>
        <w:rPr>
          <w:lang w:val="en-US"/>
        </w:rPr>
        <w:t>3,866</w:t>
      </w:r>
      <w:r w:rsidRPr="009A46A4">
        <w:rPr>
          <w:lang w:val="en-US"/>
        </w:rPr>
        <w:t xml:space="preserve"> million)</w:t>
      </w:r>
      <w:r>
        <w:rPr>
          <w:lang w:val="en-US"/>
        </w:rPr>
        <w:t>, consisting of an one-year US$ 1,875 million tranche and a five-year US$ 3,</w:t>
      </w:r>
      <w:r w:rsidR="00DD118D">
        <w:rPr>
          <w:lang w:val="en-US"/>
        </w:rPr>
        <w:t>125</w:t>
      </w:r>
      <w:r>
        <w:rPr>
          <w:lang w:val="en-US"/>
        </w:rPr>
        <w:t xml:space="preserve"> million tranche</w:t>
      </w:r>
      <w:r w:rsidRPr="009A46A4">
        <w:rPr>
          <w:lang w:val="en-US"/>
        </w:rPr>
        <w:t xml:space="preserve">. </w:t>
      </w:r>
      <w:r>
        <w:rPr>
          <w:lang w:val="en-US"/>
        </w:rPr>
        <w:t>The banking syndicate consisted of 1</w:t>
      </w:r>
      <w:r w:rsidR="00DD118D">
        <w:rPr>
          <w:lang w:val="en-US"/>
        </w:rPr>
        <w:t>2</w:t>
      </w:r>
      <w:r w:rsidRPr="009A46A4">
        <w:rPr>
          <w:lang w:val="en-US"/>
        </w:rPr>
        <w:t xml:space="preserve"> banks</w:t>
      </w:r>
      <w:r>
        <w:rPr>
          <w:lang w:val="en-US"/>
        </w:rPr>
        <w:t xml:space="preserve"> and was led by five banks</w:t>
      </w:r>
      <w:r w:rsidRPr="009A46A4">
        <w:rPr>
          <w:lang w:val="en-US"/>
        </w:rPr>
        <w:t xml:space="preserve">. The facility was initiated </w:t>
      </w:r>
      <w:r>
        <w:rPr>
          <w:lang w:val="en-US"/>
        </w:rPr>
        <w:t>for general corporate purposes and refinancing of bank debt.</w:t>
      </w:r>
      <w:r w:rsidRPr="00711B74">
        <w:rPr>
          <w:lang w:val="en-US"/>
        </w:rPr>
        <w:t xml:space="preserve"> </w:t>
      </w:r>
      <w:r>
        <w:rPr>
          <w:lang w:val="en-US"/>
        </w:rPr>
        <w:t>ING’s share is estimated at U</w:t>
      </w:r>
      <w:r w:rsidRPr="009A46A4">
        <w:rPr>
          <w:lang w:val="en-US"/>
        </w:rPr>
        <w:t xml:space="preserve">S$ </w:t>
      </w:r>
      <w:r>
        <w:rPr>
          <w:lang w:val="en-US"/>
        </w:rPr>
        <w:t>156</w:t>
      </w:r>
      <w:r w:rsidRPr="009A46A4">
        <w:rPr>
          <w:lang w:val="en-US"/>
        </w:rPr>
        <w:t xml:space="preserve"> million (€ </w:t>
      </w:r>
      <w:r w:rsidR="00DD118D">
        <w:rPr>
          <w:lang w:val="en-US"/>
        </w:rPr>
        <w:t>121</w:t>
      </w:r>
      <w:r w:rsidRPr="009A46A4">
        <w:rPr>
          <w:lang w:val="en-US"/>
        </w:rPr>
        <w:t xml:space="preserve"> million).</w:t>
      </w:r>
      <w:r w:rsidRPr="00031898">
        <w:rPr>
          <w:rStyle w:val="EndnoteReference"/>
        </w:rPr>
        <w:endnoteReference w:id="29"/>
      </w:r>
    </w:p>
    <w:p w:rsidR="00B00505" w:rsidRDefault="00B00505" w:rsidP="00415768">
      <w:pPr>
        <w:rPr>
          <w:lang w:val="en-US"/>
        </w:rPr>
      </w:pPr>
    </w:p>
    <w:p w:rsidR="00DD118D" w:rsidRPr="009A46A4" w:rsidRDefault="00DD118D" w:rsidP="00950B90">
      <w:pPr>
        <w:pStyle w:val="Opsomming3"/>
        <w:rPr>
          <w:lang w:val="en-US"/>
        </w:rPr>
      </w:pPr>
      <w:r>
        <w:rPr>
          <w:lang w:val="en-US"/>
        </w:rPr>
        <w:t xml:space="preserve">In February 2013 ING </w:t>
      </w:r>
      <w:r w:rsidRPr="009A46A4">
        <w:rPr>
          <w:lang w:val="en-US"/>
        </w:rPr>
        <w:t xml:space="preserve">participated in a syndicated revolving credit facility for </w:t>
      </w:r>
      <w:r>
        <w:rPr>
          <w:lang w:val="en-US"/>
        </w:rPr>
        <w:t>Cargill</w:t>
      </w:r>
      <w:r w:rsidRPr="009A46A4">
        <w:rPr>
          <w:lang w:val="en-US"/>
        </w:rPr>
        <w:t>. The total value of the facility was US$ 1,</w:t>
      </w:r>
      <w:r>
        <w:rPr>
          <w:lang w:val="en-US"/>
        </w:rPr>
        <w:t>25</w:t>
      </w:r>
      <w:r w:rsidRPr="009A46A4">
        <w:rPr>
          <w:lang w:val="en-US"/>
        </w:rPr>
        <w:t xml:space="preserve">0 million (€ </w:t>
      </w:r>
      <w:r>
        <w:rPr>
          <w:lang w:val="en-US"/>
        </w:rPr>
        <w:t>965</w:t>
      </w:r>
      <w:r w:rsidRPr="009A46A4">
        <w:rPr>
          <w:lang w:val="en-US"/>
        </w:rPr>
        <w:t xml:space="preserve"> million). </w:t>
      </w:r>
      <w:r>
        <w:rPr>
          <w:lang w:val="en-US"/>
        </w:rPr>
        <w:t>The banking syndicate consisted of 31</w:t>
      </w:r>
      <w:r w:rsidRPr="009A46A4">
        <w:rPr>
          <w:lang w:val="en-US"/>
        </w:rPr>
        <w:t xml:space="preserve"> banks. The maturity date </w:t>
      </w:r>
      <w:r>
        <w:rPr>
          <w:lang w:val="en-US"/>
        </w:rPr>
        <w:t>is</w:t>
      </w:r>
      <w:r w:rsidRPr="009A46A4">
        <w:rPr>
          <w:lang w:val="en-US"/>
        </w:rPr>
        <w:t xml:space="preserve"> in </w:t>
      </w:r>
      <w:r>
        <w:rPr>
          <w:lang w:val="en-US"/>
        </w:rPr>
        <w:t>March</w:t>
      </w:r>
      <w:r w:rsidRPr="009A46A4">
        <w:rPr>
          <w:lang w:val="en-US"/>
        </w:rPr>
        <w:t xml:space="preserve"> 201</w:t>
      </w:r>
      <w:r>
        <w:rPr>
          <w:lang w:val="en-US"/>
        </w:rPr>
        <w:t>4</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ING’s share is estimated at U</w:t>
      </w:r>
      <w:r w:rsidRPr="009A46A4">
        <w:rPr>
          <w:lang w:val="en-US"/>
        </w:rPr>
        <w:t xml:space="preserve">S$ </w:t>
      </w:r>
      <w:r>
        <w:rPr>
          <w:lang w:val="en-US"/>
        </w:rPr>
        <w:t>40</w:t>
      </w:r>
      <w:r w:rsidRPr="009A46A4">
        <w:rPr>
          <w:lang w:val="en-US"/>
        </w:rPr>
        <w:t xml:space="preserve"> million (€ </w:t>
      </w:r>
      <w:r>
        <w:rPr>
          <w:lang w:val="en-US"/>
        </w:rPr>
        <w:t>31</w:t>
      </w:r>
      <w:r w:rsidRPr="009A46A4">
        <w:rPr>
          <w:lang w:val="en-US"/>
        </w:rPr>
        <w:t xml:space="preserve"> million).</w:t>
      </w:r>
      <w:r w:rsidRPr="00031898">
        <w:rPr>
          <w:rStyle w:val="EndnoteReference"/>
        </w:rPr>
        <w:endnoteReference w:id="30"/>
      </w:r>
    </w:p>
    <w:p w:rsidR="00541251" w:rsidRDefault="00541251" w:rsidP="00415768">
      <w:pPr>
        <w:rPr>
          <w:lang w:val="en-US"/>
        </w:rPr>
      </w:pPr>
    </w:p>
    <w:p w:rsidR="00782438" w:rsidRPr="009A46A4" w:rsidRDefault="00782438" w:rsidP="00F62A16">
      <w:pPr>
        <w:pStyle w:val="Opsomming1"/>
        <w:rPr>
          <w:lang w:val="en-US"/>
        </w:rPr>
      </w:pPr>
      <w:r>
        <w:rPr>
          <w:lang w:val="en-US"/>
        </w:rPr>
        <w:t>Louis Dreyfus</w:t>
      </w:r>
      <w:r w:rsidRPr="009A46A4">
        <w:rPr>
          <w:lang w:val="en-US"/>
        </w:rPr>
        <w:t>:</w:t>
      </w:r>
    </w:p>
    <w:p w:rsidR="00782438" w:rsidRDefault="00782438" w:rsidP="00950B90">
      <w:pPr>
        <w:pStyle w:val="Opsomming3"/>
        <w:rPr>
          <w:lang w:val="en-US"/>
        </w:rPr>
      </w:pPr>
      <w:r>
        <w:rPr>
          <w:lang w:val="en-US"/>
        </w:rPr>
        <w:t xml:space="preserve">In October 2011 ING </w:t>
      </w:r>
      <w:r w:rsidRPr="009A46A4">
        <w:rPr>
          <w:lang w:val="en-US"/>
        </w:rPr>
        <w:t xml:space="preserve">participated in a syndicated revolving credit facility for </w:t>
      </w:r>
      <w:r>
        <w:rPr>
          <w:lang w:val="en-US"/>
        </w:rPr>
        <w:t>Louis Dreyfus</w:t>
      </w:r>
      <w:r w:rsidRPr="009A46A4">
        <w:rPr>
          <w:lang w:val="en-US"/>
        </w:rPr>
        <w:t xml:space="preserve">. The total value of the facility was US$ </w:t>
      </w:r>
      <w:r>
        <w:rPr>
          <w:lang w:val="en-US"/>
        </w:rPr>
        <w:t>797</w:t>
      </w:r>
      <w:r w:rsidRPr="009A46A4">
        <w:rPr>
          <w:lang w:val="en-US"/>
        </w:rPr>
        <w:t xml:space="preserve"> million (€ </w:t>
      </w:r>
      <w:r>
        <w:rPr>
          <w:lang w:val="en-US"/>
        </w:rPr>
        <w:t>605</w:t>
      </w:r>
      <w:r w:rsidRPr="009A46A4">
        <w:rPr>
          <w:lang w:val="en-US"/>
        </w:rPr>
        <w:t xml:space="preserve"> million)</w:t>
      </w:r>
      <w:r>
        <w:rPr>
          <w:lang w:val="en-US"/>
        </w:rPr>
        <w:t>, consisting of US$ 227 million term loan and two revolving credit facilities totaling US$ 571 million</w:t>
      </w:r>
      <w:r w:rsidRPr="009A46A4">
        <w:rPr>
          <w:lang w:val="en-US"/>
        </w:rPr>
        <w:t xml:space="preserve">. </w:t>
      </w:r>
      <w:r>
        <w:rPr>
          <w:lang w:val="en-US"/>
        </w:rPr>
        <w:t>The banking syndicate consisted of 28</w:t>
      </w:r>
      <w:r w:rsidRPr="009A46A4">
        <w:rPr>
          <w:lang w:val="en-US"/>
        </w:rPr>
        <w:t xml:space="preserve"> banks. The maturity date is in </w:t>
      </w:r>
      <w:r>
        <w:rPr>
          <w:lang w:val="en-US"/>
        </w:rPr>
        <w:t>December</w:t>
      </w:r>
      <w:r w:rsidRPr="009A46A4">
        <w:rPr>
          <w:lang w:val="en-US"/>
        </w:rPr>
        <w:t xml:space="preserve"> 201</w:t>
      </w:r>
      <w:r>
        <w:rPr>
          <w:lang w:val="en-US"/>
        </w:rPr>
        <w:t>4</w:t>
      </w:r>
      <w:r w:rsidRPr="009A46A4">
        <w:rPr>
          <w:lang w:val="en-US"/>
        </w:rPr>
        <w:t xml:space="preserve">. The facility was initiated </w:t>
      </w:r>
      <w:r w:rsidR="000446BF">
        <w:rPr>
          <w:lang w:val="en-US"/>
        </w:rPr>
        <w:t>for general corporate purposes</w:t>
      </w:r>
      <w:r w:rsidRPr="009A46A4">
        <w:rPr>
          <w:lang w:val="en-US"/>
        </w:rPr>
        <w:t xml:space="preserve">. </w:t>
      </w:r>
      <w:r>
        <w:rPr>
          <w:lang w:val="en-US"/>
        </w:rPr>
        <w:t>ING’s share is estimated at U</w:t>
      </w:r>
      <w:r w:rsidRPr="009A46A4">
        <w:rPr>
          <w:lang w:val="en-US"/>
        </w:rPr>
        <w:t xml:space="preserve">S$ </w:t>
      </w:r>
      <w:r>
        <w:rPr>
          <w:lang w:val="en-US"/>
        </w:rPr>
        <w:t>28</w:t>
      </w:r>
      <w:r w:rsidRPr="009A46A4">
        <w:rPr>
          <w:lang w:val="en-US"/>
        </w:rPr>
        <w:t xml:space="preserve"> million (€ </w:t>
      </w:r>
      <w:r>
        <w:rPr>
          <w:lang w:val="en-US"/>
        </w:rPr>
        <w:t>21</w:t>
      </w:r>
      <w:r w:rsidRPr="009A46A4">
        <w:rPr>
          <w:lang w:val="en-US"/>
        </w:rPr>
        <w:t xml:space="preserve"> million).</w:t>
      </w:r>
      <w:r w:rsidRPr="00031898">
        <w:rPr>
          <w:rStyle w:val="EndnoteReference"/>
        </w:rPr>
        <w:endnoteReference w:id="31"/>
      </w:r>
    </w:p>
    <w:p w:rsidR="00F27748" w:rsidRDefault="00F27748" w:rsidP="00F27748">
      <w:pPr>
        <w:rPr>
          <w:lang w:val="en-US"/>
        </w:rPr>
      </w:pPr>
    </w:p>
    <w:p w:rsidR="00F27748" w:rsidRDefault="00F27748" w:rsidP="00950B90">
      <w:pPr>
        <w:pStyle w:val="Opsomming3"/>
        <w:rPr>
          <w:lang w:val="en-US"/>
        </w:rPr>
      </w:pPr>
      <w:r>
        <w:rPr>
          <w:lang w:val="en-US"/>
        </w:rPr>
        <w:t xml:space="preserve">In November 2012 ING </w:t>
      </w:r>
      <w:r w:rsidRPr="009A46A4">
        <w:rPr>
          <w:lang w:val="en-US"/>
        </w:rPr>
        <w:t xml:space="preserve">participated in a syndicated revolving credit facility for </w:t>
      </w:r>
      <w:r>
        <w:rPr>
          <w:lang w:val="en-US"/>
        </w:rPr>
        <w:t>Louis Dreyfus</w:t>
      </w:r>
      <w:r w:rsidRPr="009A46A4">
        <w:rPr>
          <w:lang w:val="en-US"/>
        </w:rPr>
        <w:t xml:space="preserve">. The total value of the facility was US$ </w:t>
      </w:r>
      <w:r>
        <w:rPr>
          <w:lang w:val="en-US"/>
        </w:rPr>
        <w:t>500</w:t>
      </w:r>
      <w:r w:rsidRPr="009A46A4">
        <w:rPr>
          <w:lang w:val="en-US"/>
        </w:rPr>
        <w:t xml:space="preserve"> million (€ </w:t>
      </w:r>
      <w:r>
        <w:rPr>
          <w:lang w:val="en-US"/>
        </w:rPr>
        <w:t>392</w:t>
      </w:r>
      <w:r w:rsidRPr="009A46A4">
        <w:rPr>
          <w:lang w:val="en-US"/>
        </w:rPr>
        <w:t xml:space="preserve"> million)</w:t>
      </w:r>
      <w:r>
        <w:rPr>
          <w:lang w:val="en-US"/>
        </w:rPr>
        <w:t>.</w:t>
      </w:r>
      <w:r w:rsidRPr="009A46A4">
        <w:rPr>
          <w:lang w:val="en-US"/>
        </w:rPr>
        <w:t xml:space="preserve"> </w:t>
      </w:r>
      <w:r>
        <w:rPr>
          <w:lang w:val="en-US"/>
        </w:rPr>
        <w:t>The banking syndicate consisted of five</w:t>
      </w:r>
      <w:r w:rsidRPr="009A46A4">
        <w:rPr>
          <w:lang w:val="en-US"/>
        </w:rPr>
        <w:t xml:space="preserve"> banks</w:t>
      </w:r>
      <w:r>
        <w:rPr>
          <w:lang w:val="en-US"/>
        </w:rPr>
        <w:t xml:space="preserve"> and was led by two banks</w:t>
      </w:r>
      <w:r w:rsidRPr="009A46A4">
        <w:rPr>
          <w:lang w:val="en-US"/>
        </w:rPr>
        <w:t xml:space="preserve">. The maturity date is </w:t>
      </w:r>
      <w:r>
        <w:rPr>
          <w:lang w:val="en-US"/>
        </w:rPr>
        <w:t>unknown</w:t>
      </w:r>
      <w:r w:rsidRPr="009A46A4">
        <w:rPr>
          <w:lang w:val="en-US"/>
        </w:rPr>
        <w:t xml:space="preserve">. The facility was initiated </w:t>
      </w:r>
      <w:r>
        <w:rPr>
          <w:lang w:val="en-US"/>
        </w:rPr>
        <w:t>for general corporate purposes</w:t>
      </w:r>
      <w:r w:rsidRPr="009A46A4">
        <w:rPr>
          <w:lang w:val="en-US"/>
        </w:rPr>
        <w:t xml:space="preserve">. </w:t>
      </w:r>
      <w:r>
        <w:rPr>
          <w:lang w:val="en-US"/>
        </w:rPr>
        <w:t>ING’s share is estimated at U</w:t>
      </w:r>
      <w:r w:rsidRPr="009A46A4">
        <w:rPr>
          <w:lang w:val="en-US"/>
        </w:rPr>
        <w:t xml:space="preserve">S$ </w:t>
      </w:r>
      <w:r>
        <w:rPr>
          <w:lang w:val="en-US"/>
        </w:rPr>
        <w:t>55</w:t>
      </w:r>
      <w:r w:rsidRPr="009A46A4">
        <w:rPr>
          <w:lang w:val="en-US"/>
        </w:rPr>
        <w:t xml:space="preserve"> million (€ </w:t>
      </w:r>
      <w:r>
        <w:rPr>
          <w:lang w:val="en-US"/>
        </w:rPr>
        <w:t>44</w:t>
      </w:r>
      <w:r w:rsidRPr="009A46A4">
        <w:rPr>
          <w:lang w:val="en-US"/>
        </w:rPr>
        <w:t xml:space="preserve"> million).</w:t>
      </w:r>
      <w:r w:rsidRPr="00031898">
        <w:rPr>
          <w:rStyle w:val="EndnoteReference"/>
        </w:rPr>
        <w:endnoteReference w:id="32"/>
      </w:r>
    </w:p>
    <w:p w:rsidR="00782438" w:rsidRDefault="00782438" w:rsidP="00415768">
      <w:pPr>
        <w:rPr>
          <w:lang w:val="en-US"/>
        </w:rPr>
      </w:pPr>
    </w:p>
    <w:p w:rsidR="00336601" w:rsidRPr="00BA208E" w:rsidRDefault="00336601" w:rsidP="00F62A16">
      <w:pPr>
        <w:pStyle w:val="Opsomming1"/>
        <w:rPr>
          <w:lang w:val="en-US"/>
        </w:rPr>
      </w:pPr>
      <w:r w:rsidRPr="00BA208E">
        <w:rPr>
          <w:lang w:val="en-US"/>
        </w:rPr>
        <w:t>Olam International:</w:t>
      </w:r>
    </w:p>
    <w:p w:rsidR="00336601" w:rsidRDefault="00336601" w:rsidP="00F62A16">
      <w:pPr>
        <w:pStyle w:val="Opsomming3"/>
        <w:rPr>
          <w:lang w:val="en-US"/>
        </w:rPr>
      </w:pPr>
      <w:r>
        <w:rPr>
          <w:lang w:val="en-US"/>
        </w:rPr>
        <w:t xml:space="preserve">In April 2011 ING </w:t>
      </w:r>
      <w:r w:rsidRPr="009A46A4">
        <w:rPr>
          <w:lang w:val="en-US"/>
        </w:rPr>
        <w:t xml:space="preserve">participated in a syndicated </w:t>
      </w:r>
      <w:r>
        <w:rPr>
          <w:lang w:val="en-US"/>
        </w:rPr>
        <w:t>loan</w:t>
      </w:r>
      <w:r w:rsidRPr="009A46A4">
        <w:rPr>
          <w:lang w:val="en-US"/>
        </w:rPr>
        <w:t xml:space="preserve"> facility for </w:t>
      </w:r>
      <w:r>
        <w:rPr>
          <w:lang w:val="en-US"/>
        </w:rPr>
        <w:t>Olam International</w:t>
      </w:r>
      <w:r w:rsidRPr="009A46A4">
        <w:rPr>
          <w:lang w:val="en-US"/>
        </w:rPr>
        <w:t xml:space="preserve">. The total value of the facility was US$ </w:t>
      </w:r>
      <w:r>
        <w:rPr>
          <w:lang w:val="en-US"/>
        </w:rPr>
        <w:t>1,250</w:t>
      </w:r>
      <w:r w:rsidRPr="009A46A4">
        <w:rPr>
          <w:lang w:val="en-US"/>
        </w:rPr>
        <w:t xml:space="preserve"> million (€ </w:t>
      </w:r>
      <w:r>
        <w:rPr>
          <w:lang w:val="en-US"/>
        </w:rPr>
        <w:t>877</w:t>
      </w:r>
      <w:r w:rsidRPr="009A46A4">
        <w:rPr>
          <w:lang w:val="en-US"/>
        </w:rPr>
        <w:t xml:space="preserve"> million)</w:t>
      </w:r>
      <w:r>
        <w:rPr>
          <w:lang w:val="en-US"/>
        </w:rPr>
        <w:t>, consisting of an three-year loan of US$ 625 million and a five-year loan of US$ 625 million</w:t>
      </w:r>
      <w:r w:rsidRPr="009A46A4">
        <w:rPr>
          <w:lang w:val="en-US"/>
        </w:rPr>
        <w:t xml:space="preserve">. </w:t>
      </w:r>
      <w:r>
        <w:rPr>
          <w:lang w:val="en-US"/>
        </w:rPr>
        <w:t>The banking syndicate consisted of 32</w:t>
      </w:r>
      <w:r w:rsidRPr="009A46A4">
        <w:rPr>
          <w:lang w:val="en-US"/>
        </w:rPr>
        <w:t xml:space="preserve"> banks. The facility was initiated </w:t>
      </w:r>
      <w:r w:rsidR="000446BF">
        <w:rPr>
          <w:lang w:val="en-US"/>
        </w:rPr>
        <w:t>for general corporate purposes</w:t>
      </w:r>
      <w:r>
        <w:rPr>
          <w:lang w:val="en-US"/>
        </w:rPr>
        <w:t>, working capital and refinancing of bank debt</w:t>
      </w:r>
      <w:r w:rsidRPr="009A46A4">
        <w:rPr>
          <w:lang w:val="en-US"/>
        </w:rPr>
        <w:t>.</w:t>
      </w:r>
      <w:r>
        <w:rPr>
          <w:lang w:val="en-US"/>
        </w:rPr>
        <w:t xml:space="preserve"> ING committed an amount of U</w:t>
      </w:r>
      <w:r w:rsidRPr="009A46A4">
        <w:rPr>
          <w:lang w:val="en-US"/>
        </w:rPr>
        <w:t xml:space="preserve">S$ </w:t>
      </w:r>
      <w:r>
        <w:rPr>
          <w:lang w:val="en-US"/>
        </w:rPr>
        <w:t>61.4</w:t>
      </w:r>
      <w:r w:rsidRPr="009A46A4">
        <w:rPr>
          <w:lang w:val="en-US"/>
        </w:rPr>
        <w:t xml:space="preserve"> million (€ </w:t>
      </w:r>
      <w:r>
        <w:rPr>
          <w:lang w:val="en-US"/>
        </w:rPr>
        <w:t>43</w:t>
      </w:r>
      <w:r w:rsidRPr="009A46A4">
        <w:rPr>
          <w:lang w:val="en-US"/>
        </w:rPr>
        <w:t xml:space="preserve"> million).</w:t>
      </w:r>
      <w:r w:rsidRPr="00031898">
        <w:rPr>
          <w:rStyle w:val="EndnoteReference"/>
        </w:rPr>
        <w:endnoteReference w:id="33"/>
      </w:r>
    </w:p>
    <w:p w:rsidR="00985FAF" w:rsidRDefault="00985FAF" w:rsidP="00415768">
      <w:pPr>
        <w:rPr>
          <w:lang w:val="en-US"/>
        </w:rPr>
      </w:pPr>
    </w:p>
    <w:p w:rsidR="00CB18AB" w:rsidRPr="00802773" w:rsidRDefault="00CB18AB" w:rsidP="00F62A16">
      <w:pPr>
        <w:pStyle w:val="Opsomming1"/>
        <w:rPr>
          <w:lang w:val="en-US"/>
        </w:rPr>
      </w:pPr>
      <w:r w:rsidRPr="00802773">
        <w:rPr>
          <w:lang w:val="en-US"/>
        </w:rPr>
        <w:t>Sucres &amp; Denrées:</w:t>
      </w:r>
    </w:p>
    <w:p w:rsidR="00CB18AB" w:rsidRDefault="00CB18AB" w:rsidP="00F62A16">
      <w:pPr>
        <w:pStyle w:val="Opsomming3"/>
        <w:rPr>
          <w:lang w:val="en-US"/>
        </w:rPr>
      </w:pPr>
      <w:r>
        <w:rPr>
          <w:lang w:val="en-US"/>
        </w:rPr>
        <w:lastRenderedPageBreak/>
        <w:t xml:space="preserve">In November 2010 ING </w:t>
      </w:r>
      <w:r w:rsidRPr="009A46A4">
        <w:rPr>
          <w:lang w:val="en-US"/>
        </w:rPr>
        <w:t>participated in a syndicate</w:t>
      </w:r>
      <w:r>
        <w:rPr>
          <w:lang w:val="en-US"/>
        </w:rPr>
        <w:t xml:space="preserve">d revolving credit facility for </w:t>
      </w:r>
      <w:r w:rsidRPr="00802773">
        <w:rPr>
          <w:lang w:val="en-US"/>
        </w:rPr>
        <w:t>Sucres &amp; Denrées</w:t>
      </w:r>
      <w:r w:rsidRPr="009A46A4">
        <w:rPr>
          <w:lang w:val="en-US"/>
        </w:rPr>
        <w:t>. The total</w:t>
      </w:r>
      <w:r>
        <w:rPr>
          <w:lang w:val="en-US"/>
        </w:rPr>
        <w:t xml:space="preserve"> value of the facility was US$ 180 </w:t>
      </w:r>
      <w:r w:rsidRPr="009A46A4">
        <w:rPr>
          <w:lang w:val="en-US"/>
        </w:rPr>
        <w:t xml:space="preserve">million (€ </w:t>
      </w:r>
      <w:r>
        <w:rPr>
          <w:lang w:val="en-US"/>
        </w:rPr>
        <w:t>129</w:t>
      </w:r>
      <w:r w:rsidRPr="009A46A4">
        <w:rPr>
          <w:lang w:val="en-US"/>
        </w:rPr>
        <w:t xml:space="preserve"> million). </w:t>
      </w:r>
      <w:r>
        <w:rPr>
          <w:lang w:val="en-US"/>
        </w:rPr>
        <w:t>The banking syndicate consisted of 11</w:t>
      </w:r>
      <w:r w:rsidRPr="009A46A4">
        <w:rPr>
          <w:lang w:val="en-US"/>
        </w:rPr>
        <w:t xml:space="preserve"> banks</w:t>
      </w:r>
      <w:r>
        <w:rPr>
          <w:lang w:val="en-US"/>
        </w:rPr>
        <w:t xml:space="preserve"> and was led by five banks including ING</w:t>
      </w:r>
      <w:r w:rsidRPr="009A46A4">
        <w:rPr>
          <w:lang w:val="en-US"/>
        </w:rPr>
        <w:t xml:space="preserve">. The maturity date </w:t>
      </w:r>
      <w:r>
        <w:rPr>
          <w:lang w:val="en-US"/>
        </w:rPr>
        <w:t>i</w:t>
      </w:r>
      <w:r w:rsidRPr="009A46A4">
        <w:rPr>
          <w:lang w:val="en-US"/>
        </w:rPr>
        <w:t xml:space="preserve">s in </w:t>
      </w:r>
      <w:r>
        <w:rPr>
          <w:lang w:val="en-US"/>
        </w:rPr>
        <w:t>March</w:t>
      </w:r>
      <w:r w:rsidRPr="009A46A4">
        <w:rPr>
          <w:lang w:val="en-US"/>
        </w:rPr>
        <w:t xml:space="preserve"> 201</w:t>
      </w:r>
      <w:r>
        <w:rPr>
          <w:lang w:val="en-US"/>
        </w:rPr>
        <w:t>2</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ING committed an amount of U</w:t>
      </w:r>
      <w:r w:rsidRPr="009A46A4">
        <w:rPr>
          <w:lang w:val="en-US"/>
        </w:rPr>
        <w:t xml:space="preserve">S$ </w:t>
      </w:r>
      <w:r>
        <w:rPr>
          <w:lang w:val="en-US"/>
        </w:rPr>
        <w:t>20</w:t>
      </w:r>
      <w:r w:rsidRPr="009A46A4">
        <w:rPr>
          <w:lang w:val="en-US"/>
        </w:rPr>
        <w:t xml:space="preserve"> million (€ </w:t>
      </w:r>
      <w:r>
        <w:rPr>
          <w:lang w:val="en-US"/>
        </w:rPr>
        <w:t>14</w:t>
      </w:r>
      <w:r w:rsidRPr="009A46A4">
        <w:rPr>
          <w:lang w:val="en-US"/>
        </w:rPr>
        <w:t xml:space="preserve"> million).</w:t>
      </w:r>
      <w:r w:rsidRPr="00031898">
        <w:rPr>
          <w:rStyle w:val="EndnoteReference"/>
        </w:rPr>
        <w:endnoteReference w:id="34"/>
      </w:r>
    </w:p>
    <w:p w:rsidR="00CB18AB" w:rsidRPr="00F62A16" w:rsidRDefault="00CB18AB" w:rsidP="00F62A16">
      <w:pPr>
        <w:rPr>
          <w:lang w:val="en-US"/>
        </w:rPr>
      </w:pPr>
    </w:p>
    <w:p w:rsidR="00CB18AB" w:rsidRDefault="00CB18AB" w:rsidP="00F62A16">
      <w:pPr>
        <w:pStyle w:val="Opsomming3"/>
        <w:rPr>
          <w:lang w:val="en-US"/>
        </w:rPr>
      </w:pPr>
      <w:r>
        <w:rPr>
          <w:lang w:val="en-US"/>
        </w:rPr>
        <w:t xml:space="preserve">In March 2012 ING </w:t>
      </w:r>
      <w:r w:rsidRPr="009A46A4">
        <w:rPr>
          <w:lang w:val="en-US"/>
        </w:rPr>
        <w:t>participated in a syndicate</w:t>
      </w:r>
      <w:r>
        <w:rPr>
          <w:lang w:val="en-US"/>
        </w:rPr>
        <w:t xml:space="preserve">d revolving credit facility for </w:t>
      </w:r>
      <w:r w:rsidRPr="00802773">
        <w:rPr>
          <w:lang w:val="en-US"/>
        </w:rPr>
        <w:t>Sucres &amp; Denrées</w:t>
      </w:r>
      <w:r w:rsidRPr="009A46A4">
        <w:rPr>
          <w:lang w:val="en-US"/>
        </w:rPr>
        <w:t>. The total</w:t>
      </w:r>
      <w:r>
        <w:rPr>
          <w:lang w:val="en-US"/>
        </w:rPr>
        <w:t xml:space="preserve"> value of the facility was US$ 180 </w:t>
      </w:r>
      <w:r w:rsidRPr="009A46A4">
        <w:rPr>
          <w:lang w:val="en-US"/>
        </w:rPr>
        <w:t xml:space="preserve">million (€ </w:t>
      </w:r>
      <w:r>
        <w:rPr>
          <w:lang w:val="en-US"/>
        </w:rPr>
        <w:t>137</w:t>
      </w:r>
      <w:r w:rsidRPr="009A46A4">
        <w:rPr>
          <w:lang w:val="en-US"/>
        </w:rPr>
        <w:t xml:space="preserve"> million). </w:t>
      </w:r>
      <w:r>
        <w:rPr>
          <w:lang w:val="en-US"/>
        </w:rPr>
        <w:t>The banking syndicate consisted of 11</w:t>
      </w:r>
      <w:r w:rsidRPr="009A46A4">
        <w:rPr>
          <w:lang w:val="en-US"/>
        </w:rPr>
        <w:t xml:space="preserve"> banks. The maturity date </w:t>
      </w:r>
      <w:r>
        <w:rPr>
          <w:lang w:val="en-US"/>
        </w:rPr>
        <w:t>i</w:t>
      </w:r>
      <w:r w:rsidRPr="009A46A4">
        <w:rPr>
          <w:lang w:val="en-US"/>
        </w:rPr>
        <w:t xml:space="preserve">s in </w:t>
      </w:r>
      <w:r>
        <w:rPr>
          <w:lang w:val="en-US"/>
        </w:rPr>
        <w:t>March</w:t>
      </w:r>
      <w:r w:rsidRPr="009A46A4">
        <w:rPr>
          <w:lang w:val="en-US"/>
        </w:rPr>
        <w:t xml:space="preserve"> 201</w:t>
      </w:r>
      <w:r>
        <w:rPr>
          <w:lang w:val="en-US"/>
        </w:rPr>
        <w:t>3</w:t>
      </w:r>
      <w:r w:rsidRPr="009A46A4">
        <w:rPr>
          <w:lang w:val="en-US"/>
        </w:rPr>
        <w:t xml:space="preserve">. The facility was initiated </w:t>
      </w:r>
      <w:r>
        <w:rPr>
          <w:lang w:val="en-US"/>
        </w:rPr>
        <w:t>for general corporate purposes</w:t>
      </w:r>
      <w:r w:rsidRPr="009A46A4">
        <w:rPr>
          <w:lang w:val="en-US"/>
        </w:rPr>
        <w:t xml:space="preserve">. </w:t>
      </w:r>
      <w:r w:rsidR="006104F0">
        <w:rPr>
          <w:lang w:val="en-US"/>
        </w:rPr>
        <w:t xml:space="preserve">ING’s share is estimated at </w:t>
      </w:r>
      <w:r>
        <w:rPr>
          <w:lang w:val="en-US"/>
        </w:rPr>
        <w:t>U</w:t>
      </w:r>
      <w:r w:rsidRPr="009A46A4">
        <w:rPr>
          <w:lang w:val="en-US"/>
        </w:rPr>
        <w:t xml:space="preserve">S$ </w:t>
      </w:r>
      <w:r w:rsidR="006104F0">
        <w:rPr>
          <w:lang w:val="en-US"/>
        </w:rPr>
        <w:t>16</w:t>
      </w:r>
      <w:r w:rsidRPr="009A46A4">
        <w:rPr>
          <w:lang w:val="en-US"/>
        </w:rPr>
        <w:t xml:space="preserve"> million (€ </w:t>
      </w:r>
      <w:r w:rsidR="006104F0">
        <w:rPr>
          <w:lang w:val="en-US"/>
        </w:rPr>
        <w:t>12</w:t>
      </w:r>
      <w:r w:rsidRPr="009A46A4">
        <w:rPr>
          <w:lang w:val="en-US"/>
        </w:rPr>
        <w:t xml:space="preserve"> million).</w:t>
      </w:r>
      <w:r w:rsidRPr="00031898">
        <w:rPr>
          <w:rStyle w:val="EndnoteReference"/>
        </w:rPr>
        <w:endnoteReference w:id="35"/>
      </w:r>
    </w:p>
    <w:p w:rsidR="006104F0" w:rsidRDefault="006104F0" w:rsidP="00F62A16">
      <w:pPr>
        <w:pStyle w:val="Opsomming3"/>
        <w:numPr>
          <w:ilvl w:val="0"/>
          <w:numId w:val="0"/>
        </w:numPr>
        <w:ind w:left="567"/>
        <w:rPr>
          <w:rFonts w:cs="Times New Roman"/>
          <w:lang w:val="en-US"/>
        </w:rPr>
      </w:pPr>
    </w:p>
    <w:p w:rsidR="006104F0" w:rsidRPr="009A46A4" w:rsidRDefault="006104F0" w:rsidP="00F62A16">
      <w:pPr>
        <w:pStyle w:val="Opsomming3"/>
        <w:rPr>
          <w:lang w:val="en-US"/>
        </w:rPr>
      </w:pPr>
      <w:r>
        <w:rPr>
          <w:lang w:val="en-US"/>
        </w:rPr>
        <w:t xml:space="preserve">In February 2013 ING </w:t>
      </w:r>
      <w:r w:rsidRPr="009A46A4">
        <w:rPr>
          <w:lang w:val="en-US"/>
        </w:rPr>
        <w:t>participated in a syndicate</w:t>
      </w:r>
      <w:r>
        <w:rPr>
          <w:lang w:val="en-US"/>
        </w:rPr>
        <w:t xml:space="preserve">d revolving credit facility for </w:t>
      </w:r>
      <w:r w:rsidRPr="00802773">
        <w:rPr>
          <w:lang w:val="en-US"/>
        </w:rPr>
        <w:t>Sucres &amp; Denrées</w:t>
      </w:r>
      <w:r w:rsidRPr="009A46A4">
        <w:rPr>
          <w:lang w:val="en-US"/>
        </w:rPr>
        <w:t>. The total</w:t>
      </w:r>
      <w:r>
        <w:rPr>
          <w:lang w:val="en-US"/>
        </w:rPr>
        <w:t xml:space="preserve"> value of the facility was US$ 210 </w:t>
      </w:r>
      <w:r w:rsidRPr="009A46A4">
        <w:rPr>
          <w:lang w:val="en-US"/>
        </w:rPr>
        <w:t xml:space="preserve">million (€ </w:t>
      </w:r>
      <w:r>
        <w:rPr>
          <w:lang w:val="en-US"/>
        </w:rPr>
        <w:t>159</w:t>
      </w:r>
      <w:r w:rsidRPr="009A46A4">
        <w:rPr>
          <w:lang w:val="en-US"/>
        </w:rPr>
        <w:t xml:space="preserve"> million). </w:t>
      </w:r>
      <w:r>
        <w:rPr>
          <w:lang w:val="en-US"/>
        </w:rPr>
        <w:t>The banking syndicate consisted of 11</w:t>
      </w:r>
      <w:r w:rsidRPr="009A46A4">
        <w:rPr>
          <w:lang w:val="en-US"/>
        </w:rPr>
        <w:t xml:space="preserve"> banks. The maturity date </w:t>
      </w:r>
      <w:r>
        <w:rPr>
          <w:lang w:val="en-US"/>
        </w:rPr>
        <w:t>i</w:t>
      </w:r>
      <w:r w:rsidRPr="009A46A4">
        <w:rPr>
          <w:lang w:val="en-US"/>
        </w:rPr>
        <w:t xml:space="preserve">s in </w:t>
      </w:r>
      <w:r>
        <w:rPr>
          <w:lang w:val="en-US"/>
        </w:rPr>
        <w:t>February</w:t>
      </w:r>
      <w:r w:rsidRPr="009A46A4">
        <w:rPr>
          <w:lang w:val="en-US"/>
        </w:rPr>
        <w:t xml:space="preserve"> 201</w:t>
      </w:r>
      <w:r>
        <w:rPr>
          <w:lang w:val="en-US"/>
        </w:rPr>
        <w:t>4</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ING’s share is estimated at U</w:t>
      </w:r>
      <w:r w:rsidRPr="009A46A4">
        <w:rPr>
          <w:lang w:val="en-US"/>
        </w:rPr>
        <w:t xml:space="preserve">S$ </w:t>
      </w:r>
      <w:r>
        <w:rPr>
          <w:lang w:val="en-US"/>
        </w:rPr>
        <w:t>19</w:t>
      </w:r>
      <w:r w:rsidRPr="009A46A4">
        <w:rPr>
          <w:lang w:val="en-US"/>
        </w:rPr>
        <w:t xml:space="preserve"> million (€ </w:t>
      </w:r>
      <w:r>
        <w:rPr>
          <w:lang w:val="en-US"/>
        </w:rPr>
        <w:t>14</w:t>
      </w:r>
      <w:r w:rsidRPr="009A46A4">
        <w:rPr>
          <w:lang w:val="en-US"/>
        </w:rPr>
        <w:t xml:space="preserve"> million).</w:t>
      </w:r>
      <w:r w:rsidRPr="00031898">
        <w:rPr>
          <w:rStyle w:val="EndnoteReference"/>
        </w:rPr>
        <w:endnoteReference w:id="36"/>
      </w:r>
    </w:p>
    <w:p w:rsidR="006104F0" w:rsidRDefault="006104F0" w:rsidP="006104F0">
      <w:pPr>
        <w:rPr>
          <w:lang w:val="en-US"/>
        </w:rPr>
      </w:pPr>
    </w:p>
    <w:p w:rsidR="006104F0" w:rsidRPr="006104F0" w:rsidRDefault="006104F0" w:rsidP="00F62A16">
      <w:pPr>
        <w:pStyle w:val="Opsomming1"/>
        <w:rPr>
          <w:lang w:val="en-US"/>
        </w:rPr>
      </w:pPr>
      <w:r w:rsidRPr="006104F0">
        <w:rPr>
          <w:lang w:val="en-US"/>
        </w:rPr>
        <w:t>Tate &amp; Lyle:</w:t>
      </w:r>
    </w:p>
    <w:p w:rsidR="006104F0" w:rsidRPr="009A46A4" w:rsidRDefault="006104F0" w:rsidP="00F62A16">
      <w:pPr>
        <w:pStyle w:val="Opsomming3"/>
        <w:rPr>
          <w:lang w:val="en-US"/>
        </w:rPr>
      </w:pPr>
      <w:r>
        <w:rPr>
          <w:lang w:val="en-US"/>
        </w:rPr>
        <w:t xml:space="preserve">In July 2011 ING </w:t>
      </w:r>
      <w:r w:rsidRPr="009A46A4">
        <w:rPr>
          <w:lang w:val="en-US"/>
        </w:rPr>
        <w:t>participated in a syndicate</w:t>
      </w:r>
      <w:r>
        <w:rPr>
          <w:lang w:val="en-US"/>
        </w:rPr>
        <w:t>d revolving credit facility for Tate &amp; Lyle</w:t>
      </w:r>
      <w:r w:rsidRPr="009A46A4">
        <w:rPr>
          <w:lang w:val="en-US"/>
        </w:rPr>
        <w:t>. The total</w:t>
      </w:r>
      <w:r>
        <w:rPr>
          <w:lang w:val="en-US"/>
        </w:rPr>
        <w:t xml:space="preserve"> value of the facility was US$ 800 </w:t>
      </w:r>
      <w:r w:rsidRPr="009A46A4">
        <w:rPr>
          <w:lang w:val="en-US"/>
        </w:rPr>
        <w:t xml:space="preserve">million (€ </w:t>
      </w:r>
      <w:r>
        <w:rPr>
          <w:lang w:val="en-US"/>
        </w:rPr>
        <w:t>572</w:t>
      </w:r>
      <w:r w:rsidRPr="009A46A4">
        <w:rPr>
          <w:lang w:val="en-US"/>
        </w:rPr>
        <w:t xml:space="preserve"> million). </w:t>
      </w:r>
      <w:r>
        <w:rPr>
          <w:lang w:val="en-US"/>
        </w:rPr>
        <w:t>The banking syndicate consisted of nine</w:t>
      </w:r>
      <w:r w:rsidRPr="009A46A4">
        <w:rPr>
          <w:lang w:val="en-US"/>
        </w:rPr>
        <w:t xml:space="preserve"> banks. The maturity date </w:t>
      </w:r>
      <w:r>
        <w:rPr>
          <w:lang w:val="en-US"/>
        </w:rPr>
        <w:t>i</w:t>
      </w:r>
      <w:r w:rsidRPr="009A46A4">
        <w:rPr>
          <w:lang w:val="en-US"/>
        </w:rPr>
        <w:t xml:space="preserve">s in </w:t>
      </w:r>
      <w:r>
        <w:rPr>
          <w:lang w:val="en-US"/>
        </w:rPr>
        <w:t>July</w:t>
      </w:r>
      <w:r w:rsidRPr="009A46A4">
        <w:rPr>
          <w:lang w:val="en-US"/>
        </w:rPr>
        <w:t xml:space="preserve"> 201</w:t>
      </w:r>
      <w:r>
        <w:rPr>
          <w:lang w:val="en-US"/>
        </w:rPr>
        <w:t>6</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ING’s share is estimated at U</w:t>
      </w:r>
      <w:r w:rsidRPr="009A46A4">
        <w:rPr>
          <w:lang w:val="en-US"/>
        </w:rPr>
        <w:t xml:space="preserve">S$ </w:t>
      </w:r>
      <w:r>
        <w:rPr>
          <w:lang w:val="en-US"/>
        </w:rPr>
        <w:t>89</w:t>
      </w:r>
      <w:r w:rsidRPr="009A46A4">
        <w:rPr>
          <w:lang w:val="en-US"/>
        </w:rPr>
        <w:t xml:space="preserve"> million (€ </w:t>
      </w:r>
      <w:r>
        <w:rPr>
          <w:lang w:val="en-US"/>
        </w:rPr>
        <w:t>64</w:t>
      </w:r>
      <w:r w:rsidRPr="009A46A4">
        <w:rPr>
          <w:lang w:val="en-US"/>
        </w:rPr>
        <w:t xml:space="preserve"> million).</w:t>
      </w:r>
      <w:r w:rsidRPr="00031898">
        <w:rPr>
          <w:rStyle w:val="EndnoteReference"/>
        </w:rPr>
        <w:endnoteReference w:id="37"/>
      </w:r>
    </w:p>
    <w:p w:rsidR="006104F0" w:rsidRPr="006104F0" w:rsidRDefault="006104F0" w:rsidP="006104F0">
      <w:pPr>
        <w:rPr>
          <w:lang w:val="en-US"/>
        </w:rPr>
      </w:pPr>
    </w:p>
    <w:p w:rsidR="00CB18AB" w:rsidRPr="00CB18AB" w:rsidRDefault="00CB18AB" w:rsidP="00CB18AB">
      <w:pPr>
        <w:rPr>
          <w:lang w:val="en-US"/>
        </w:rPr>
      </w:pPr>
    </w:p>
    <w:p w:rsidR="00CB18AB" w:rsidRDefault="00CB18AB" w:rsidP="00415768">
      <w:pPr>
        <w:rPr>
          <w:lang w:val="en-US"/>
        </w:rPr>
      </w:pPr>
    </w:p>
    <w:p w:rsidR="00CB18AB" w:rsidRDefault="00CB18AB" w:rsidP="00415768">
      <w:pPr>
        <w:rPr>
          <w:lang w:val="en-US"/>
        </w:rPr>
      </w:pPr>
    </w:p>
    <w:p w:rsidR="00985FAF" w:rsidRDefault="00985FAF">
      <w:pPr>
        <w:keepLines w:val="0"/>
        <w:rPr>
          <w:lang w:val="en-US"/>
        </w:rPr>
      </w:pPr>
      <w:r>
        <w:rPr>
          <w:lang w:val="en-US"/>
        </w:rPr>
        <w:br w:type="page"/>
      </w:r>
    </w:p>
    <w:p w:rsidR="00985FAF" w:rsidRPr="00CB18AB" w:rsidRDefault="00985FAF" w:rsidP="00985FAF">
      <w:pPr>
        <w:pStyle w:val="Heading1"/>
        <w:rPr>
          <w:lang w:val="nl-NL"/>
        </w:rPr>
      </w:pPr>
      <w:bookmarkStart w:id="43" w:name="_Toc365554355"/>
      <w:r w:rsidRPr="00CB18AB">
        <w:rPr>
          <w:lang w:val="nl-NL"/>
        </w:rPr>
        <w:lastRenderedPageBreak/>
        <w:t>Pensioenfonds Zorg en Welzijn (PfZW)</w:t>
      </w:r>
      <w:bookmarkEnd w:id="43"/>
    </w:p>
    <w:p w:rsidR="00985FAF" w:rsidRPr="00546F0A" w:rsidRDefault="00985FAF" w:rsidP="00985FAF">
      <w:pPr>
        <w:pStyle w:val="Heading2"/>
        <w:rPr>
          <w:lang w:val="en-US"/>
        </w:rPr>
      </w:pPr>
      <w:bookmarkStart w:id="44" w:name="_Toc365554356"/>
      <w:r>
        <w:rPr>
          <w:lang w:val="en-US"/>
        </w:rPr>
        <w:t>Shareholdings</w:t>
      </w:r>
      <w:bookmarkEnd w:id="44"/>
    </w:p>
    <w:p w:rsidR="009B6037" w:rsidRDefault="00E55126" w:rsidP="009B6037">
      <w:pPr>
        <w:rPr>
          <w:lang w:val="en-US"/>
        </w:rPr>
      </w:pPr>
      <w:r>
        <w:rPr>
          <w:lang w:val="en-US"/>
        </w:rPr>
        <w:fldChar w:fldCharType="begin"/>
      </w:r>
      <w:r w:rsidR="009B6037">
        <w:rPr>
          <w:lang w:val="en-US"/>
        </w:rPr>
        <w:instrText xml:space="preserve"> REF _Ref362855110 \r \h </w:instrText>
      </w:r>
      <w:r>
        <w:rPr>
          <w:lang w:val="en-US"/>
        </w:rPr>
      </w:r>
      <w:r>
        <w:rPr>
          <w:lang w:val="en-US"/>
        </w:rPr>
        <w:fldChar w:fldCharType="separate"/>
      </w:r>
      <w:r w:rsidR="00D74F7E">
        <w:rPr>
          <w:lang w:val="en-US"/>
        </w:rPr>
        <w:t>Table 8</w:t>
      </w:r>
      <w:r>
        <w:rPr>
          <w:lang w:val="en-US"/>
        </w:rPr>
        <w:fldChar w:fldCharType="end"/>
      </w:r>
      <w:r w:rsidR="009B6037">
        <w:rPr>
          <w:lang w:val="en-US"/>
        </w:rPr>
        <w:t xml:space="preserve"> </w:t>
      </w:r>
      <w:r w:rsidR="009B6037" w:rsidRPr="009B6037">
        <w:rPr>
          <w:lang w:val="en-US"/>
        </w:rPr>
        <w:t xml:space="preserve">gives an overview of all the shares of </w:t>
      </w:r>
      <w:r w:rsidR="009B6037">
        <w:rPr>
          <w:lang w:val="en-US"/>
        </w:rPr>
        <w:t>food companies</w:t>
      </w:r>
      <w:r w:rsidR="009B6037" w:rsidRPr="009B6037">
        <w:rPr>
          <w:lang w:val="en-US"/>
        </w:rPr>
        <w:t xml:space="preserve"> owned by </w:t>
      </w:r>
      <w:r w:rsidR="009B6037">
        <w:rPr>
          <w:lang w:val="en-US"/>
        </w:rPr>
        <w:t xml:space="preserve">PfZW </w:t>
      </w:r>
      <w:r w:rsidR="00322909">
        <w:rPr>
          <w:lang w:val="en-US"/>
        </w:rPr>
        <w:t>on</w:t>
      </w:r>
      <w:r w:rsidR="00E02F5C">
        <w:rPr>
          <w:lang w:val="en-US"/>
        </w:rPr>
        <w:t xml:space="preserve"> 31 December 2012</w:t>
      </w:r>
      <w:r w:rsidR="009B6037">
        <w:rPr>
          <w:lang w:val="en-US"/>
        </w:rPr>
        <w:t>.</w:t>
      </w:r>
    </w:p>
    <w:p w:rsidR="00985FAF" w:rsidRPr="00546F0A" w:rsidRDefault="00985FAF" w:rsidP="00985FAF">
      <w:pPr>
        <w:rPr>
          <w:lang w:val="en-US"/>
        </w:rPr>
      </w:pPr>
    </w:p>
    <w:p w:rsidR="00985FAF" w:rsidRPr="00ED1F1A" w:rsidRDefault="00985FAF" w:rsidP="00985FAF">
      <w:pPr>
        <w:pStyle w:val="Tabelkop"/>
        <w:rPr>
          <w:lang w:val="en-US"/>
        </w:rPr>
      </w:pPr>
      <w:bookmarkStart w:id="45" w:name="_Ref362855110"/>
      <w:r w:rsidRPr="00ED1F1A">
        <w:rPr>
          <w:lang w:val="en-US"/>
        </w:rPr>
        <w:t xml:space="preserve">Shares owned by </w:t>
      </w:r>
      <w:r>
        <w:rPr>
          <w:lang w:val="en-US"/>
        </w:rPr>
        <w:t>PfZW on 31 December 2012</w:t>
      </w:r>
      <w:bookmarkEnd w:id="45"/>
    </w:p>
    <w:tbl>
      <w:tblPr>
        <w:tblStyle w:val="Profundo"/>
        <w:tblW w:w="4607" w:type="dxa"/>
        <w:tblLayout w:type="fixed"/>
        <w:tblLook w:val="04A0"/>
      </w:tblPr>
      <w:tblGrid>
        <w:gridCol w:w="3203"/>
        <w:gridCol w:w="1404"/>
      </w:tblGrid>
      <w:tr w:rsidR="0033599C" w:rsidRPr="0033599C" w:rsidTr="0094488D">
        <w:trPr>
          <w:cnfStyle w:val="100000000000"/>
        </w:trPr>
        <w:tc>
          <w:tcPr>
            <w:cnfStyle w:val="001000000000"/>
            <w:tcW w:w="3203" w:type="dxa"/>
          </w:tcPr>
          <w:p w:rsidR="00985FAF" w:rsidRPr="0033599C" w:rsidRDefault="0094488D" w:rsidP="009A46A4">
            <w:pPr>
              <w:pStyle w:val="Tabeltekst"/>
              <w:keepNext/>
              <w:rPr>
                <w:color w:val="595959" w:themeColor="text1" w:themeTint="A6"/>
              </w:rPr>
            </w:pPr>
            <w:r w:rsidRPr="0033599C">
              <w:rPr>
                <w:color w:val="595959" w:themeColor="text1" w:themeTint="A6"/>
              </w:rPr>
              <w:t>Behind the Brands companies</w:t>
            </w:r>
          </w:p>
        </w:tc>
        <w:tc>
          <w:tcPr>
            <w:tcW w:w="1404" w:type="dxa"/>
          </w:tcPr>
          <w:p w:rsidR="00985FAF" w:rsidRPr="0033599C" w:rsidRDefault="00985FAF" w:rsidP="009A46A4">
            <w:pPr>
              <w:pStyle w:val="Tabeltekst"/>
              <w:keepNext/>
              <w:cnfStyle w:val="100000000000"/>
              <w:rPr>
                <w:color w:val="595959" w:themeColor="text1" w:themeTint="A6"/>
              </w:rPr>
            </w:pPr>
            <w:r w:rsidRPr="0033599C">
              <w:rPr>
                <w:color w:val="595959" w:themeColor="text1" w:themeTint="A6"/>
              </w:rPr>
              <w:t xml:space="preserve">Value </w:t>
            </w:r>
          </w:p>
          <w:p w:rsidR="00985FAF" w:rsidRPr="0033599C" w:rsidRDefault="00985FAF" w:rsidP="009A46A4">
            <w:pPr>
              <w:pStyle w:val="Tabeltekst"/>
              <w:keepNext/>
              <w:cnfStyle w:val="100000000000"/>
              <w:rPr>
                <w:color w:val="595959" w:themeColor="text1" w:themeTint="A6"/>
              </w:rPr>
            </w:pPr>
            <w:r w:rsidRPr="0033599C">
              <w:rPr>
                <w:color w:val="595959" w:themeColor="text1" w:themeTint="A6"/>
              </w:rPr>
              <w:t>(€ million)</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Coca-Cola Company</w:t>
            </w:r>
          </w:p>
        </w:tc>
        <w:tc>
          <w:tcPr>
            <w:tcW w:w="1404" w:type="dxa"/>
          </w:tcPr>
          <w:p w:rsidR="00985FAF" w:rsidRPr="0033599C" w:rsidRDefault="00985FAF" w:rsidP="009B6037">
            <w:pPr>
              <w:keepNext/>
              <w:cnfStyle w:val="000000000000"/>
              <w:rPr>
                <w:color w:val="595959" w:themeColor="text1" w:themeTint="A6"/>
                <w:sz w:val="20"/>
                <w:szCs w:val="20"/>
              </w:rPr>
            </w:pPr>
            <w:r w:rsidRPr="0033599C">
              <w:rPr>
                <w:color w:val="595959" w:themeColor="text1" w:themeTint="A6"/>
                <w:sz w:val="20"/>
                <w:szCs w:val="20"/>
              </w:rPr>
              <w:t>152</w:t>
            </w:r>
            <w:r w:rsidR="009B6037" w:rsidRPr="0033599C">
              <w:rPr>
                <w:color w:val="595959" w:themeColor="text1" w:themeTint="A6"/>
                <w:sz w:val="20"/>
                <w:szCs w:val="20"/>
              </w:rPr>
              <w:t>.</w:t>
            </w:r>
            <w:r w:rsidRPr="0033599C">
              <w:rPr>
                <w:color w:val="595959" w:themeColor="text1" w:themeTint="A6"/>
                <w:sz w:val="20"/>
                <w:szCs w:val="20"/>
              </w:rPr>
              <w:t>14</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Danone</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45.</w:t>
            </w:r>
            <w:r w:rsidR="00985FAF" w:rsidRPr="0033599C">
              <w:rPr>
                <w:color w:val="595959" w:themeColor="text1" w:themeTint="A6"/>
                <w:sz w:val="20"/>
                <w:szCs w:val="20"/>
              </w:rPr>
              <w:t>86</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General Mills</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29.</w:t>
            </w:r>
            <w:r w:rsidR="00985FAF" w:rsidRPr="0033599C">
              <w:rPr>
                <w:color w:val="595959" w:themeColor="text1" w:themeTint="A6"/>
                <w:sz w:val="20"/>
                <w:szCs w:val="20"/>
              </w:rPr>
              <w:t>62</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Kellogg</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17.</w:t>
            </w:r>
            <w:r w:rsidR="00985FAF" w:rsidRPr="0033599C">
              <w:rPr>
                <w:color w:val="595959" w:themeColor="text1" w:themeTint="A6"/>
                <w:sz w:val="20"/>
                <w:szCs w:val="20"/>
              </w:rPr>
              <w:t>04</w:t>
            </w:r>
          </w:p>
        </w:tc>
      </w:tr>
      <w:tr w:rsidR="0033599C" w:rsidRPr="0033599C" w:rsidTr="0094488D">
        <w:tc>
          <w:tcPr>
            <w:cnfStyle w:val="001000000000"/>
            <w:tcW w:w="3203" w:type="dxa"/>
          </w:tcPr>
          <w:p w:rsidR="00985FAF" w:rsidRPr="0033599C" w:rsidRDefault="000226F3" w:rsidP="009A46A4">
            <w:pPr>
              <w:pStyle w:val="Tabeltekst"/>
              <w:keepNext/>
              <w:rPr>
                <w:color w:val="595959" w:themeColor="text1" w:themeTint="A6"/>
              </w:rPr>
            </w:pPr>
            <w:r w:rsidRPr="0033599C">
              <w:rPr>
                <w:color w:val="595959" w:themeColor="text1" w:themeTint="A6"/>
              </w:rPr>
              <w:t>Mondelēz International</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44.</w:t>
            </w:r>
            <w:r w:rsidR="00985FAF" w:rsidRPr="0033599C">
              <w:rPr>
                <w:color w:val="595959" w:themeColor="text1" w:themeTint="A6"/>
                <w:sz w:val="20"/>
                <w:szCs w:val="20"/>
              </w:rPr>
              <w:t>34</w:t>
            </w:r>
          </w:p>
        </w:tc>
      </w:tr>
      <w:tr w:rsidR="0033599C" w:rsidRPr="0033599C" w:rsidTr="0094488D">
        <w:tc>
          <w:tcPr>
            <w:cnfStyle w:val="001000000000"/>
            <w:tcW w:w="3203" w:type="dxa"/>
          </w:tcPr>
          <w:p w:rsidR="00985FAF" w:rsidRPr="0033599C" w:rsidRDefault="00985FAF" w:rsidP="007B244F">
            <w:pPr>
              <w:pStyle w:val="Tabeltekst"/>
              <w:keepNext/>
              <w:rPr>
                <w:color w:val="595959" w:themeColor="text1" w:themeTint="A6"/>
              </w:rPr>
            </w:pPr>
            <w:r w:rsidRPr="0033599C">
              <w:rPr>
                <w:color w:val="595959" w:themeColor="text1" w:themeTint="A6"/>
              </w:rPr>
              <w:t>Nestlé S.A.</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172.</w:t>
            </w:r>
            <w:r w:rsidR="00985FAF" w:rsidRPr="0033599C">
              <w:rPr>
                <w:color w:val="595959" w:themeColor="text1" w:themeTint="A6"/>
                <w:sz w:val="20"/>
                <w:szCs w:val="20"/>
              </w:rPr>
              <w:t>79</w:t>
            </w:r>
          </w:p>
        </w:tc>
      </w:tr>
      <w:tr w:rsidR="0033599C" w:rsidRPr="0033599C" w:rsidTr="0094488D">
        <w:tc>
          <w:tcPr>
            <w:cnfStyle w:val="001000000000"/>
            <w:tcW w:w="3203" w:type="dxa"/>
          </w:tcPr>
          <w:p w:rsidR="00985FAF" w:rsidRPr="0033599C" w:rsidRDefault="00985FAF" w:rsidP="007B244F">
            <w:pPr>
              <w:pStyle w:val="Tabeltekst"/>
              <w:keepNext/>
              <w:rPr>
                <w:color w:val="595959" w:themeColor="text1" w:themeTint="A6"/>
              </w:rPr>
            </w:pPr>
            <w:r w:rsidRPr="0033599C">
              <w:rPr>
                <w:color w:val="595959" w:themeColor="text1" w:themeTint="A6"/>
              </w:rPr>
              <w:t>Nestlé India</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2.</w:t>
            </w:r>
            <w:r w:rsidR="00985FAF" w:rsidRPr="0033599C">
              <w:rPr>
                <w:color w:val="595959" w:themeColor="text1" w:themeTint="A6"/>
                <w:sz w:val="20"/>
                <w:szCs w:val="20"/>
              </w:rPr>
              <w:t>73</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Pepsico</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59.</w:t>
            </w:r>
            <w:r w:rsidR="00985FAF" w:rsidRPr="0033599C">
              <w:rPr>
                <w:color w:val="595959" w:themeColor="text1" w:themeTint="A6"/>
                <w:sz w:val="20"/>
                <w:szCs w:val="20"/>
              </w:rPr>
              <w:t>12</w:t>
            </w:r>
          </w:p>
        </w:tc>
      </w:tr>
      <w:tr w:rsidR="0033599C" w:rsidRPr="0033599C" w:rsidTr="0094488D">
        <w:tc>
          <w:tcPr>
            <w:cnfStyle w:val="001000000000"/>
            <w:tcW w:w="3203" w:type="dxa"/>
          </w:tcPr>
          <w:p w:rsidR="00985FAF" w:rsidRPr="0033599C" w:rsidRDefault="00985FAF" w:rsidP="007B244F">
            <w:pPr>
              <w:pStyle w:val="Tabeltekst"/>
              <w:keepNext/>
              <w:rPr>
                <w:color w:val="595959" w:themeColor="text1" w:themeTint="A6"/>
              </w:rPr>
            </w:pPr>
            <w:r w:rsidRPr="0033599C">
              <w:rPr>
                <w:color w:val="595959" w:themeColor="text1" w:themeTint="A6"/>
              </w:rPr>
              <w:t>Unilever NV</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67.</w:t>
            </w:r>
            <w:r w:rsidR="00985FAF" w:rsidRPr="0033599C">
              <w:rPr>
                <w:color w:val="595959" w:themeColor="text1" w:themeTint="A6"/>
                <w:sz w:val="20"/>
                <w:szCs w:val="20"/>
              </w:rPr>
              <w:t>78</w:t>
            </w:r>
          </w:p>
        </w:tc>
      </w:tr>
      <w:tr w:rsidR="0033599C" w:rsidRPr="0033599C" w:rsidTr="0094488D">
        <w:tc>
          <w:tcPr>
            <w:cnfStyle w:val="001000000000"/>
            <w:tcW w:w="3203" w:type="dxa"/>
          </w:tcPr>
          <w:p w:rsidR="00985FAF" w:rsidRPr="0033599C" w:rsidRDefault="00985FAF" w:rsidP="007B244F">
            <w:pPr>
              <w:pStyle w:val="Tabeltekst"/>
              <w:keepNext/>
              <w:rPr>
                <w:color w:val="595959" w:themeColor="text1" w:themeTint="A6"/>
              </w:rPr>
            </w:pPr>
            <w:r w:rsidRPr="0033599C">
              <w:rPr>
                <w:color w:val="595959" w:themeColor="text1" w:themeTint="A6"/>
              </w:rPr>
              <w:t>Unilever PLC</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41.</w:t>
            </w:r>
            <w:r w:rsidR="00985FAF" w:rsidRPr="0033599C">
              <w:rPr>
                <w:color w:val="595959" w:themeColor="text1" w:themeTint="A6"/>
                <w:sz w:val="20"/>
                <w:szCs w:val="20"/>
              </w:rPr>
              <w:t>86</w:t>
            </w:r>
          </w:p>
        </w:tc>
      </w:tr>
      <w:tr w:rsidR="0033599C" w:rsidRPr="0033599C" w:rsidTr="0094488D">
        <w:tc>
          <w:tcPr>
            <w:cnfStyle w:val="001000000000"/>
            <w:tcW w:w="3203" w:type="dxa"/>
            <w:tcBorders>
              <w:bottom w:val="single" w:sz="4" w:space="0" w:color="9FCB3B"/>
            </w:tcBorders>
          </w:tcPr>
          <w:p w:rsidR="00985FAF" w:rsidRPr="0033599C" w:rsidRDefault="00985FAF" w:rsidP="007B244F">
            <w:pPr>
              <w:pStyle w:val="Tabeltekst"/>
              <w:keepNext/>
              <w:rPr>
                <w:color w:val="595959" w:themeColor="text1" w:themeTint="A6"/>
              </w:rPr>
            </w:pPr>
            <w:r w:rsidRPr="0033599C">
              <w:rPr>
                <w:color w:val="595959" w:themeColor="text1" w:themeTint="A6"/>
              </w:rPr>
              <w:t>Unilever Indonesia</w:t>
            </w:r>
          </w:p>
        </w:tc>
        <w:tc>
          <w:tcPr>
            <w:tcW w:w="1404" w:type="dxa"/>
            <w:tcBorders>
              <w:bottom w:val="single" w:sz="4" w:space="0" w:color="9FCB3B"/>
            </w:tcBorders>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5.</w:t>
            </w:r>
            <w:r w:rsidR="00985FAF" w:rsidRPr="0033599C">
              <w:rPr>
                <w:color w:val="595959" w:themeColor="text1" w:themeTint="A6"/>
                <w:sz w:val="20"/>
                <w:szCs w:val="20"/>
              </w:rPr>
              <w:t>18</w:t>
            </w:r>
          </w:p>
        </w:tc>
      </w:tr>
      <w:tr w:rsidR="0033599C" w:rsidRPr="0033599C" w:rsidTr="0094488D">
        <w:tc>
          <w:tcPr>
            <w:cnfStyle w:val="001000000000"/>
            <w:tcW w:w="3203" w:type="dxa"/>
            <w:tcBorders>
              <w:top w:val="single" w:sz="4" w:space="0" w:color="9FCB3B"/>
              <w:bottom w:val="single" w:sz="4" w:space="0" w:color="9FCB3B"/>
            </w:tcBorders>
          </w:tcPr>
          <w:p w:rsidR="0094488D" w:rsidRPr="0033599C" w:rsidRDefault="0094488D" w:rsidP="009A46A4">
            <w:pPr>
              <w:pStyle w:val="Tabeltekst"/>
              <w:keepNext/>
              <w:rPr>
                <w:color w:val="595959" w:themeColor="text1" w:themeTint="A6"/>
              </w:rPr>
            </w:pPr>
            <w:r w:rsidRPr="0033599C">
              <w:rPr>
                <w:b/>
                <w:color w:val="595959" w:themeColor="text1" w:themeTint="A6"/>
              </w:rPr>
              <w:t>Palm oil, sugar and soy traders</w:t>
            </w:r>
          </w:p>
        </w:tc>
        <w:tc>
          <w:tcPr>
            <w:tcW w:w="1404" w:type="dxa"/>
            <w:tcBorders>
              <w:top w:val="single" w:sz="4" w:space="0" w:color="9FCB3B"/>
              <w:bottom w:val="single" w:sz="4" w:space="0" w:color="9FCB3B"/>
            </w:tcBorders>
          </w:tcPr>
          <w:p w:rsidR="0094488D" w:rsidRPr="0033599C" w:rsidRDefault="0094488D" w:rsidP="0094488D">
            <w:pPr>
              <w:pStyle w:val="Tabeltekst"/>
              <w:keepNext/>
              <w:cnfStyle w:val="000000000000"/>
              <w:rPr>
                <w:b/>
                <w:color w:val="595959" w:themeColor="text1" w:themeTint="A6"/>
              </w:rPr>
            </w:pPr>
            <w:r w:rsidRPr="0033599C">
              <w:rPr>
                <w:b/>
                <w:color w:val="595959" w:themeColor="text1" w:themeTint="A6"/>
              </w:rPr>
              <w:t xml:space="preserve">Value </w:t>
            </w:r>
          </w:p>
          <w:p w:rsidR="0094488D" w:rsidRPr="0033599C" w:rsidRDefault="0094488D" w:rsidP="0094488D">
            <w:pPr>
              <w:keepNext/>
              <w:cnfStyle w:val="000000000000"/>
              <w:rPr>
                <w:color w:val="595959" w:themeColor="text1" w:themeTint="A6"/>
                <w:sz w:val="20"/>
                <w:szCs w:val="20"/>
              </w:rPr>
            </w:pPr>
            <w:r w:rsidRPr="0033599C">
              <w:rPr>
                <w:b/>
                <w:color w:val="595959" w:themeColor="text1" w:themeTint="A6"/>
                <w:sz w:val="20"/>
                <w:szCs w:val="20"/>
              </w:rPr>
              <w:t>(€ million)</w:t>
            </w:r>
          </w:p>
        </w:tc>
      </w:tr>
      <w:tr w:rsidR="0033599C" w:rsidRPr="0033599C" w:rsidTr="0094488D">
        <w:tc>
          <w:tcPr>
            <w:cnfStyle w:val="001000000000"/>
            <w:tcW w:w="3203" w:type="dxa"/>
            <w:tcBorders>
              <w:top w:val="single" w:sz="4" w:space="0" w:color="9FCB3B"/>
            </w:tcBorders>
          </w:tcPr>
          <w:p w:rsidR="00985FAF" w:rsidRPr="0033599C" w:rsidRDefault="00985FAF" w:rsidP="009A46A4">
            <w:pPr>
              <w:pStyle w:val="Tabeltekst"/>
              <w:keepNext/>
              <w:rPr>
                <w:color w:val="595959" w:themeColor="text1" w:themeTint="A6"/>
              </w:rPr>
            </w:pPr>
            <w:r w:rsidRPr="0033599C">
              <w:rPr>
                <w:color w:val="595959" w:themeColor="text1" w:themeTint="A6"/>
              </w:rPr>
              <w:t>Archer Daniels Midland</w:t>
            </w:r>
          </w:p>
        </w:tc>
        <w:tc>
          <w:tcPr>
            <w:tcW w:w="1404" w:type="dxa"/>
            <w:tcBorders>
              <w:top w:val="single" w:sz="4" w:space="0" w:color="9FCB3B"/>
            </w:tcBorders>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17.</w:t>
            </w:r>
            <w:r w:rsidR="00985FAF" w:rsidRPr="0033599C">
              <w:rPr>
                <w:color w:val="595959" w:themeColor="text1" w:themeTint="A6"/>
                <w:sz w:val="20"/>
                <w:szCs w:val="20"/>
              </w:rPr>
              <w:t>79</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Bunge</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10.</w:t>
            </w:r>
            <w:r w:rsidR="00985FAF" w:rsidRPr="0033599C">
              <w:rPr>
                <w:color w:val="595959" w:themeColor="text1" w:themeTint="A6"/>
                <w:sz w:val="20"/>
                <w:szCs w:val="20"/>
              </w:rPr>
              <w:t>44</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Olam International</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1.</w:t>
            </w:r>
            <w:r w:rsidR="00985FAF" w:rsidRPr="0033599C">
              <w:rPr>
                <w:color w:val="595959" w:themeColor="text1" w:themeTint="A6"/>
                <w:sz w:val="20"/>
                <w:szCs w:val="20"/>
              </w:rPr>
              <w:t>29</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Sime Darby</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25.</w:t>
            </w:r>
            <w:r w:rsidR="00985FAF" w:rsidRPr="0033599C">
              <w:rPr>
                <w:color w:val="595959" w:themeColor="text1" w:themeTint="A6"/>
                <w:sz w:val="20"/>
                <w:szCs w:val="20"/>
              </w:rPr>
              <w:t>25</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Tate &amp; Lyle</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5.</w:t>
            </w:r>
            <w:r w:rsidR="00985FAF" w:rsidRPr="0033599C">
              <w:rPr>
                <w:color w:val="595959" w:themeColor="text1" w:themeTint="A6"/>
                <w:sz w:val="20"/>
                <w:szCs w:val="20"/>
              </w:rPr>
              <w:t>09</w:t>
            </w:r>
          </w:p>
        </w:tc>
      </w:tr>
      <w:tr w:rsidR="0033599C" w:rsidRPr="0033599C" w:rsidTr="0094488D">
        <w:tc>
          <w:tcPr>
            <w:cnfStyle w:val="001000000000"/>
            <w:tcW w:w="3203" w:type="dxa"/>
          </w:tcPr>
          <w:p w:rsidR="00985FAF" w:rsidRPr="0033599C" w:rsidRDefault="00985FAF" w:rsidP="009A46A4">
            <w:pPr>
              <w:pStyle w:val="Tabeltekst"/>
              <w:keepNext/>
              <w:rPr>
                <w:color w:val="595959" w:themeColor="text1" w:themeTint="A6"/>
              </w:rPr>
            </w:pPr>
            <w:r w:rsidRPr="0033599C">
              <w:rPr>
                <w:color w:val="595959" w:themeColor="text1" w:themeTint="A6"/>
              </w:rPr>
              <w:t>Wilmar International</w:t>
            </w:r>
          </w:p>
        </w:tc>
        <w:tc>
          <w:tcPr>
            <w:tcW w:w="1404" w:type="dxa"/>
          </w:tcPr>
          <w:p w:rsidR="00985FAF" w:rsidRPr="0033599C" w:rsidRDefault="009B6037" w:rsidP="009A46A4">
            <w:pPr>
              <w:keepNext/>
              <w:cnfStyle w:val="000000000000"/>
              <w:rPr>
                <w:color w:val="595959" w:themeColor="text1" w:themeTint="A6"/>
                <w:sz w:val="20"/>
                <w:szCs w:val="20"/>
              </w:rPr>
            </w:pPr>
            <w:r w:rsidRPr="0033599C">
              <w:rPr>
                <w:color w:val="595959" w:themeColor="text1" w:themeTint="A6"/>
                <w:sz w:val="20"/>
                <w:szCs w:val="20"/>
              </w:rPr>
              <w:t>7.</w:t>
            </w:r>
            <w:r w:rsidR="00985FAF" w:rsidRPr="0033599C">
              <w:rPr>
                <w:color w:val="595959" w:themeColor="text1" w:themeTint="A6"/>
                <w:sz w:val="20"/>
                <w:szCs w:val="20"/>
              </w:rPr>
              <w:t>21</w:t>
            </w:r>
          </w:p>
        </w:tc>
      </w:tr>
    </w:tbl>
    <w:p w:rsidR="00985FAF" w:rsidRPr="00985FAF" w:rsidRDefault="00985FAF" w:rsidP="00985FAF">
      <w:pPr>
        <w:pStyle w:val="Tabelbron"/>
        <w:rPr>
          <w:lang w:val="nl-NL"/>
        </w:rPr>
      </w:pPr>
      <w:r w:rsidRPr="00985FAF">
        <w:rPr>
          <w:lang w:val="nl-NL"/>
        </w:rPr>
        <w:t xml:space="preserve">Source: Pensioenfonds Zorg &amp; Welzijn, “Transparantielijsten”, </w:t>
      </w:r>
      <w:r w:rsidRPr="00985FAF">
        <w:rPr>
          <w:i/>
          <w:lang w:val="nl-NL"/>
        </w:rPr>
        <w:t>Pensioenfonds Zorg &amp; Welzijn</w:t>
      </w:r>
      <w:r>
        <w:rPr>
          <w:lang w:val="nl-NL"/>
        </w:rPr>
        <w:t>, 31 december 2012</w:t>
      </w:r>
      <w:r w:rsidRPr="00985FAF">
        <w:rPr>
          <w:lang w:val="nl-NL"/>
        </w:rPr>
        <w:t>.</w:t>
      </w:r>
    </w:p>
    <w:p w:rsidR="00985FAF" w:rsidRPr="00985FAF" w:rsidRDefault="00985FAF" w:rsidP="00985FAF">
      <w:pPr>
        <w:rPr>
          <w:lang w:val="nl-NL"/>
        </w:rPr>
      </w:pPr>
    </w:p>
    <w:p w:rsidR="00985FAF" w:rsidRPr="00546F0A" w:rsidRDefault="00985FAF" w:rsidP="00985FAF">
      <w:pPr>
        <w:pStyle w:val="Heading2"/>
        <w:rPr>
          <w:lang w:val="en-US"/>
        </w:rPr>
      </w:pPr>
      <w:bookmarkStart w:id="46" w:name="_Toc365554357"/>
      <w:r>
        <w:rPr>
          <w:lang w:val="en-US"/>
        </w:rPr>
        <w:t>Share issuances</w:t>
      </w:r>
      <w:bookmarkEnd w:id="46"/>
    </w:p>
    <w:p w:rsidR="00E234B0" w:rsidRDefault="00E234B0" w:rsidP="00E234B0">
      <w:r>
        <w:t>Pension funds such as PfZW are not involved in the management and underwriting of share issuances.</w:t>
      </w:r>
    </w:p>
    <w:p w:rsidR="00985FAF" w:rsidRPr="00E234B0" w:rsidRDefault="00985FAF" w:rsidP="00985FAF"/>
    <w:p w:rsidR="00985FAF" w:rsidRDefault="00985FAF" w:rsidP="00985FAF">
      <w:pPr>
        <w:pStyle w:val="Heading2"/>
        <w:rPr>
          <w:lang w:val="en-US"/>
        </w:rPr>
      </w:pPr>
      <w:bookmarkStart w:id="47" w:name="_Toc365554358"/>
      <w:r>
        <w:rPr>
          <w:lang w:val="en-US"/>
        </w:rPr>
        <w:t>Bondholdings</w:t>
      </w:r>
      <w:bookmarkEnd w:id="47"/>
    </w:p>
    <w:p w:rsidR="00902867" w:rsidRDefault="00E55126" w:rsidP="00902867">
      <w:pPr>
        <w:rPr>
          <w:lang w:val="en-US"/>
        </w:rPr>
      </w:pPr>
      <w:r>
        <w:rPr>
          <w:lang w:val="en-US"/>
        </w:rPr>
        <w:fldChar w:fldCharType="begin"/>
      </w:r>
      <w:r w:rsidR="00902867">
        <w:rPr>
          <w:lang w:val="en-US"/>
        </w:rPr>
        <w:instrText xml:space="preserve"> REF _Ref363295648 \r \h </w:instrText>
      </w:r>
      <w:r>
        <w:rPr>
          <w:lang w:val="en-US"/>
        </w:rPr>
      </w:r>
      <w:r>
        <w:rPr>
          <w:lang w:val="en-US"/>
        </w:rPr>
        <w:fldChar w:fldCharType="separate"/>
      </w:r>
      <w:r w:rsidR="00D74F7E">
        <w:rPr>
          <w:lang w:val="en-US"/>
        </w:rPr>
        <w:t>Table 9</w:t>
      </w:r>
      <w:r>
        <w:rPr>
          <w:lang w:val="en-US"/>
        </w:rPr>
        <w:fldChar w:fldCharType="end"/>
      </w:r>
      <w:r w:rsidR="00902867">
        <w:rPr>
          <w:lang w:val="en-US"/>
        </w:rPr>
        <w:t xml:space="preserve"> </w:t>
      </w:r>
      <w:r w:rsidR="00902867" w:rsidRPr="009B6037">
        <w:rPr>
          <w:lang w:val="en-US"/>
        </w:rPr>
        <w:t xml:space="preserve">gives an overview of all the </w:t>
      </w:r>
      <w:r w:rsidR="00902867">
        <w:rPr>
          <w:lang w:val="en-US"/>
        </w:rPr>
        <w:t>bonds</w:t>
      </w:r>
      <w:r w:rsidR="00902867" w:rsidRPr="009B6037">
        <w:rPr>
          <w:lang w:val="en-US"/>
        </w:rPr>
        <w:t xml:space="preserve"> of </w:t>
      </w:r>
      <w:r w:rsidR="00902867">
        <w:rPr>
          <w:lang w:val="en-US"/>
        </w:rPr>
        <w:t>food companies</w:t>
      </w:r>
      <w:r w:rsidR="00902867" w:rsidRPr="009B6037">
        <w:rPr>
          <w:lang w:val="en-US"/>
        </w:rPr>
        <w:t xml:space="preserve"> owned by </w:t>
      </w:r>
      <w:r w:rsidR="00902867">
        <w:rPr>
          <w:lang w:val="en-US"/>
        </w:rPr>
        <w:t xml:space="preserve">PfZW </w:t>
      </w:r>
      <w:r w:rsidR="00322909">
        <w:rPr>
          <w:lang w:val="en-US"/>
        </w:rPr>
        <w:t>on 31 December 2012</w:t>
      </w:r>
      <w:r w:rsidR="00902867">
        <w:rPr>
          <w:lang w:val="en-US"/>
        </w:rPr>
        <w:t>.</w:t>
      </w:r>
    </w:p>
    <w:p w:rsidR="009B6037" w:rsidRPr="00ED1F1A" w:rsidRDefault="009B6037" w:rsidP="009B6037">
      <w:pPr>
        <w:pStyle w:val="Tabelkop"/>
        <w:rPr>
          <w:lang w:val="en-US"/>
        </w:rPr>
      </w:pPr>
      <w:bookmarkStart w:id="48" w:name="_Ref363295648"/>
      <w:r>
        <w:rPr>
          <w:lang w:val="en-US"/>
        </w:rPr>
        <w:lastRenderedPageBreak/>
        <w:t>Bonds</w:t>
      </w:r>
      <w:r w:rsidRPr="00ED1F1A">
        <w:rPr>
          <w:lang w:val="en-US"/>
        </w:rPr>
        <w:t xml:space="preserve"> owned by </w:t>
      </w:r>
      <w:r>
        <w:rPr>
          <w:lang w:val="en-US"/>
        </w:rPr>
        <w:t>PfZW on 31 December 2012</w:t>
      </w:r>
      <w:bookmarkEnd w:id="48"/>
    </w:p>
    <w:tbl>
      <w:tblPr>
        <w:tblStyle w:val="Profundo"/>
        <w:tblW w:w="4783" w:type="dxa"/>
        <w:tblLayout w:type="fixed"/>
        <w:tblLook w:val="04A0"/>
      </w:tblPr>
      <w:tblGrid>
        <w:gridCol w:w="3193"/>
        <w:gridCol w:w="1590"/>
      </w:tblGrid>
      <w:tr w:rsidR="009B6037" w:rsidRPr="00322909" w:rsidTr="00322909">
        <w:trPr>
          <w:cnfStyle w:val="100000000000"/>
        </w:trPr>
        <w:tc>
          <w:tcPr>
            <w:cnfStyle w:val="001000000000"/>
            <w:tcW w:w="3193" w:type="dxa"/>
          </w:tcPr>
          <w:p w:rsidR="009B6037" w:rsidRPr="00322909" w:rsidRDefault="00322909" w:rsidP="009A46A4">
            <w:pPr>
              <w:pStyle w:val="Tabeltekst"/>
              <w:keepNext/>
              <w:rPr>
                <w:color w:val="595959" w:themeColor="text1" w:themeTint="A6"/>
              </w:rPr>
            </w:pPr>
            <w:r w:rsidRPr="00322909">
              <w:rPr>
                <w:color w:val="595959" w:themeColor="text1" w:themeTint="A6"/>
              </w:rPr>
              <w:t>Behind the Brands companies</w:t>
            </w:r>
          </w:p>
        </w:tc>
        <w:tc>
          <w:tcPr>
            <w:tcW w:w="1590" w:type="dxa"/>
          </w:tcPr>
          <w:p w:rsidR="009B6037" w:rsidRPr="00322909" w:rsidRDefault="009B6037" w:rsidP="009A46A4">
            <w:pPr>
              <w:pStyle w:val="Tabeltekst"/>
              <w:keepNext/>
              <w:cnfStyle w:val="100000000000"/>
              <w:rPr>
                <w:color w:val="595959" w:themeColor="text1" w:themeTint="A6"/>
              </w:rPr>
            </w:pPr>
            <w:r w:rsidRPr="00322909">
              <w:rPr>
                <w:color w:val="595959" w:themeColor="text1" w:themeTint="A6"/>
              </w:rPr>
              <w:t xml:space="preserve">Value </w:t>
            </w:r>
          </w:p>
          <w:p w:rsidR="009B6037" w:rsidRPr="00322909" w:rsidRDefault="009B6037" w:rsidP="009A46A4">
            <w:pPr>
              <w:pStyle w:val="Tabeltekst"/>
              <w:keepNext/>
              <w:cnfStyle w:val="100000000000"/>
              <w:rPr>
                <w:color w:val="595959" w:themeColor="text1" w:themeTint="A6"/>
              </w:rPr>
            </w:pPr>
            <w:r w:rsidRPr="00322909">
              <w:rPr>
                <w:color w:val="595959" w:themeColor="text1" w:themeTint="A6"/>
              </w:rPr>
              <w:t>(€ million)</w:t>
            </w:r>
          </w:p>
        </w:tc>
      </w:tr>
      <w:tr w:rsidR="009B6037" w:rsidRPr="00ED1F1A" w:rsidTr="00322909">
        <w:tc>
          <w:tcPr>
            <w:cnfStyle w:val="001000000000"/>
            <w:tcW w:w="3193" w:type="dxa"/>
            <w:tcBorders>
              <w:bottom w:val="single" w:sz="4" w:space="0" w:color="9FCB3B"/>
            </w:tcBorders>
          </w:tcPr>
          <w:p w:rsidR="009B6037" w:rsidRPr="00ED1F1A" w:rsidRDefault="009B6037" w:rsidP="009A46A4">
            <w:pPr>
              <w:pStyle w:val="Tabeltekst"/>
              <w:keepNext/>
              <w:rPr>
                <w:color w:val="595959" w:themeColor="text1" w:themeTint="A6"/>
              </w:rPr>
            </w:pPr>
            <w:r>
              <w:rPr>
                <w:color w:val="595959" w:themeColor="text1" w:themeTint="A6"/>
              </w:rPr>
              <w:t>Danone</w:t>
            </w:r>
          </w:p>
        </w:tc>
        <w:tc>
          <w:tcPr>
            <w:tcW w:w="1590" w:type="dxa"/>
            <w:tcBorders>
              <w:bottom w:val="single" w:sz="4" w:space="0" w:color="9FCB3B"/>
            </w:tcBorders>
          </w:tcPr>
          <w:p w:rsidR="009B6037" w:rsidRPr="00ED1F1A" w:rsidRDefault="009B6037" w:rsidP="009A46A4">
            <w:pPr>
              <w:keepNext/>
              <w:cnfStyle w:val="000000000000"/>
              <w:rPr>
                <w:color w:val="595959" w:themeColor="text1" w:themeTint="A6"/>
                <w:sz w:val="20"/>
                <w:szCs w:val="20"/>
              </w:rPr>
            </w:pPr>
            <w:r>
              <w:rPr>
                <w:color w:val="595959" w:themeColor="text1" w:themeTint="A6"/>
                <w:sz w:val="20"/>
                <w:szCs w:val="20"/>
              </w:rPr>
              <w:t>29.36</w:t>
            </w:r>
          </w:p>
        </w:tc>
      </w:tr>
      <w:tr w:rsidR="00322909" w:rsidRPr="00ED1F1A" w:rsidTr="00322909">
        <w:tc>
          <w:tcPr>
            <w:cnfStyle w:val="001000000000"/>
            <w:tcW w:w="3193" w:type="dxa"/>
            <w:tcBorders>
              <w:top w:val="single" w:sz="4" w:space="0" w:color="9FCB3B"/>
              <w:bottom w:val="single" w:sz="4" w:space="0" w:color="9FCB3B"/>
            </w:tcBorders>
          </w:tcPr>
          <w:p w:rsidR="00322909" w:rsidRDefault="00322909" w:rsidP="009A46A4">
            <w:pPr>
              <w:pStyle w:val="Tabeltekst"/>
              <w:keepNext/>
              <w:rPr>
                <w:color w:val="595959" w:themeColor="text1" w:themeTint="A6"/>
              </w:rPr>
            </w:pPr>
            <w:r w:rsidRPr="0094488D">
              <w:rPr>
                <w:b/>
                <w:color w:val="595959" w:themeColor="text1" w:themeTint="A6"/>
              </w:rPr>
              <w:t>Palm oil, sugar and soy traders</w:t>
            </w:r>
          </w:p>
        </w:tc>
        <w:tc>
          <w:tcPr>
            <w:tcW w:w="1590" w:type="dxa"/>
            <w:tcBorders>
              <w:top w:val="single" w:sz="4" w:space="0" w:color="9FCB3B"/>
              <w:bottom w:val="single" w:sz="4" w:space="0" w:color="9FCB3B"/>
            </w:tcBorders>
          </w:tcPr>
          <w:p w:rsidR="00322909" w:rsidRDefault="00322909" w:rsidP="00322909">
            <w:pPr>
              <w:pStyle w:val="Tabeltekst"/>
              <w:keepNext/>
              <w:cnfStyle w:val="000000000000"/>
              <w:rPr>
                <w:b/>
                <w:color w:val="595959" w:themeColor="text1" w:themeTint="A6"/>
              </w:rPr>
            </w:pPr>
            <w:r>
              <w:rPr>
                <w:b/>
                <w:color w:val="595959" w:themeColor="text1" w:themeTint="A6"/>
              </w:rPr>
              <w:t>Value</w:t>
            </w:r>
            <w:r w:rsidRPr="00ED1F1A">
              <w:rPr>
                <w:b/>
                <w:color w:val="595959" w:themeColor="text1" w:themeTint="A6"/>
              </w:rPr>
              <w:t xml:space="preserve"> </w:t>
            </w:r>
          </w:p>
          <w:p w:rsidR="00322909" w:rsidRDefault="00322909" w:rsidP="00322909">
            <w:pPr>
              <w:keepNext/>
              <w:cnfStyle w:val="000000000000"/>
              <w:rPr>
                <w:color w:val="595959" w:themeColor="text1" w:themeTint="A6"/>
                <w:sz w:val="20"/>
                <w:szCs w:val="20"/>
              </w:rPr>
            </w:pPr>
            <w:r w:rsidRPr="00144FE5">
              <w:rPr>
                <w:b/>
                <w:color w:val="595959" w:themeColor="text1" w:themeTint="A6"/>
              </w:rPr>
              <w:t>(€ million)</w:t>
            </w:r>
          </w:p>
        </w:tc>
      </w:tr>
      <w:tr w:rsidR="009B6037" w:rsidRPr="00ED1F1A" w:rsidTr="00322909">
        <w:tc>
          <w:tcPr>
            <w:cnfStyle w:val="001000000000"/>
            <w:tcW w:w="3193" w:type="dxa"/>
            <w:tcBorders>
              <w:top w:val="single" w:sz="4" w:space="0" w:color="9FCB3B"/>
            </w:tcBorders>
          </w:tcPr>
          <w:p w:rsidR="009B6037" w:rsidRPr="00ED1F1A" w:rsidRDefault="009B6037" w:rsidP="009A46A4">
            <w:pPr>
              <w:pStyle w:val="Tabeltekst"/>
              <w:keepNext/>
              <w:rPr>
                <w:color w:val="595959" w:themeColor="text1" w:themeTint="A6"/>
              </w:rPr>
            </w:pPr>
            <w:r>
              <w:rPr>
                <w:color w:val="595959" w:themeColor="text1" w:themeTint="A6"/>
              </w:rPr>
              <w:t>Cargill</w:t>
            </w:r>
          </w:p>
        </w:tc>
        <w:tc>
          <w:tcPr>
            <w:tcW w:w="1590" w:type="dxa"/>
            <w:tcBorders>
              <w:top w:val="single" w:sz="4" w:space="0" w:color="9FCB3B"/>
            </w:tcBorders>
          </w:tcPr>
          <w:p w:rsidR="009B6037" w:rsidRPr="00ED1F1A" w:rsidRDefault="009B6037" w:rsidP="009A46A4">
            <w:pPr>
              <w:keepNext/>
              <w:cnfStyle w:val="000000000000"/>
              <w:rPr>
                <w:color w:val="595959" w:themeColor="text1" w:themeTint="A6"/>
                <w:sz w:val="20"/>
                <w:szCs w:val="20"/>
              </w:rPr>
            </w:pPr>
            <w:r>
              <w:rPr>
                <w:color w:val="595959" w:themeColor="text1" w:themeTint="A6"/>
                <w:sz w:val="20"/>
                <w:szCs w:val="20"/>
              </w:rPr>
              <w:t>12.97</w:t>
            </w:r>
          </w:p>
        </w:tc>
      </w:tr>
    </w:tbl>
    <w:p w:rsidR="009B6037" w:rsidRPr="00985FAF" w:rsidRDefault="009B6037" w:rsidP="009B6037">
      <w:pPr>
        <w:pStyle w:val="Tabelbron"/>
        <w:rPr>
          <w:lang w:val="nl-NL"/>
        </w:rPr>
      </w:pPr>
      <w:r w:rsidRPr="00985FAF">
        <w:rPr>
          <w:lang w:val="nl-NL"/>
        </w:rPr>
        <w:t xml:space="preserve">Source: Pensioenfonds Zorg &amp; Welzijn, “Transparantielijsten”, </w:t>
      </w:r>
      <w:r w:rsidRPr="00985FAF">
        <w:rPr>
          <w:i/>
          <w:lang w:val="nl-NL"/>
        </w:rPr>
        <w:t>Pensioenfonds Zorg &amp; Welzijn</w:t>
      </w:r>
      <w:r>
        <w:rPr>
          <w:lang w:val="nl-NL"/>
        </w:rPr>
        <w:t>, 31 december 2012</w:t>
      </w:r>
      <w:r w:rsidRPr="00985FAF">
        <w:rPr>
          <w:lang w:val="nl-NL"/>
        </w:rPr>
        <w:t>.</w:t>
      </w:r>
    </w:p>
    <w:p w:rsidR="009B6037" w:rsidRPr="009B6037" w:rsidRDefault="009B6037" w:rsidP="00985FAF">
      <w:pPr>
        <w:rPr>
          <w:lang w:val="nl-NL"/>
        </w:rPr>
      </w:pPr>
    </w:p>
    <w:p w:rsidR="00985FAF" w:rsidRDefault="00985FAF" w:rsidP="00985FAF">
      <w:pPr>
        <w:pStyle w:val="Heading2"/>
        <w:rPr>
          <w:lang w:val="en-US"/>
        </w:rPr>
      </w:pPr>
      <w:bookmarkStart w:id="49" w:name="_Toc365554359"/>
      <w:r>
        <w:rPr>
          <w:lang w:val="en-US"/>
        </w:rPr>
        <w:t>Bond issuances</w:t>
      </w:r>
      <w:bookmarkEnd w:id="49"/>
    </w:p>
    <w:p w:rsidR="00E234B0" w:rsidRDefault="00E234B0" w:rsidP="00E234B0">
      <w:r>
        <w:t>Pension funds such as PfZW are not involved in the management and underwriting of bond issuances.</w:t>
      </w:r>
    </w:p>
    <w:p w:rsidR="00985FAF" w:rsidRPr="00E234B0" w:rsidRDefault="00985FAF" w:rsidP="00985FAF"/>
    <w:p w:rsidR="00985FAF" w:rsidRPr="00ED1F1A" w:rsidRDefault="00985FAF" w:rsidP="00985FAF">
      <w:pPr>
        <w:pStyle w:val="Heading2"/>
        <w:rPr>
          <w:lang w:val="en-US"/>
        </w:rPr>
      </w:pPr>
      <w:bookmarkStart w:id="50" w:name="_Toc365554360"/>
      <w:r>
        <w:rPr>
          <w:lang w:val="en-US"/>
        </w:rPr>
        <w:t>Loans</w:t>
      </w:r>
      <w:bookmarkEnd w:id="50"/>
    </w:p>
    <w:p w:rsidR="00CB18AB" w:rsidRDefault="00CB18AB" w:rsidP="00CB18AB">
      <w:r>
        <w:t>Pension funds such as PfZW are not involved in providing loans to companies.</w:t>
      </w:r>
    </w:p>
    <w:p w:rsidR="00985FAF" w:rsidRDefault="00985FAF" w:rsidP="00415768">
      <w:pPr>
        <w:rPr>
          <w:lang w:val="en-US"/>
        </w:rPr>
      </w:pPr>
    </w:p>
    <w:p w:rsidR="00985FAF" w:rsidRDefault="00985FAF">
      <w:pPr>
        <w:keepLines w:val="0"/>
        <w:rPr>
          <w:lang w:val="en-US"/>
        </w:rPr>
      </w:pPr>
      <w:r>
        <w:rPr>
          <w:lang w:val="en-US"/>
        </w:rPr>
        <w:br w:type="page"/>
      </w:r>
    </w:p>
    <w:p w:rsidR="00985FAF" w:rsidRPr="00546F0A" w:rsidRDefault="00985FAF" w:rsidP="00985FAF">
      <w:pPr>
        <w:pStyle w:val="Heading1"/>
        <w:rPr>
          <w:lang w:val="en-US"/>
        </w:rPr>
      </w:pPr>
      <w:bookmarkStart w:id="51" w:name="_Ref365281748"/>
      <w:bookmarkStart w:id="52" w:name="_Toc365554361"/>
      <w:r>
        <w:rPr>
          <w:lang w:val="en-US"/>
        </w:rPr>
        <w:lastRenderedPageBreak/>
        <w:t>Rabobank</w:t>
      </w:r>
      <w:bookmarkEnd w:id="51"/>
      <w:bookmarkEnd w:id="52"/>
    </w:p>
    <w:p w:rsidR="00985FAF" w:rsidRPr="00546F0A" w:rsidRDefault="00985FAF" w:rsidP="00985FAF">
      <w:pPr>
        <w:pStyle w:val="Heading2"/>
        <w:rPr>
          <w:lang w:val="en-US"/>
        </w:rPr>
      </w:pPr>
      <w:bookmarkStart w:id="53" w:name="_Toc365554362"/>
      <w:r>
        <w:rPr>
          <w:lang w:val="en-US"/>
        </w:rPr>
        <w:t>Shareholdings</w:t>
      </w:r>
      <w:bookmarkEnd w:id="53"/>
    </w:p>
    <w:p w:rsidR="009B6037" w:rsidRDefault="00E55126" w:rsidP="009B6037">
      <w:pPr>
        <w:rPr>
          <w:lang w:val="en-US"/>
        </w:rPr>
      </w:pPr>
      <w:r>
        <w:rPr>
          <w:lang w:val="en-US"/>
        </w:rPr>
        <w:fldChar w:fldCharType="begin"/>
      </w:r>
      <w:r w:rsidR="0098143C">
        <w:rPr>
          <w:lang w:val="en-US"/>
        </w:rPr>
        <w:instrText xml:space="preserve"> REF _Ref362855211 \r \h </w:instrText>
      </w:r>
      <w:r>
        <w:rPr>
          <w:lang w:val="en-US"/>
        </w:rPr>
      </w:r>
      <w:r>
        <w:rPr>
          <w:lang w:val="en-US"/>
        </w:rPr>
        <w:fldChar w:fldCharType="separate"/>
      </w:r>
      <w:r w:rsidR="00D74F7E">
        <w:rPr>
          <w:lang w:val="en-US"/>
        </w:rPr>
        <w:t>Table 10</w:t>
      </w:r>
      <w:r>
        <w:rPr>
          <w:lang w:val="en-US"/>
        </w:rPr>
        <w:fldChar w:fldCharType="end"/>
      </w:r>
      <w:r w:rsidR="0098143C">
        <w:rPr>
          <w:lang w:val="en-US"/>
        </w:rPr>
        <w:t xml:space="preserve"> </w:t>
      </w:r>
      <w:r w:rsidR="009B6037" w:rsidRPr="009B6037">
        <w:rPr>
          <w:lang w:val="en-US"/>
        </w:rPr>
        <w:t xml:space="preserve">gives an overview of all the shares of </w:t>
      </w:r>
      <w:r w:rsidR="009B6037">
        <w:rPr>
          <w:lang w:val="en-US"/>
        </w:rPr>
        <w:t>food companies</w:t>
      </w:r>
      <w:r w:rsidR="009B6037" w:rsidRPr="009B6037">
        <w:rPr>
          <w:lang w:val="en-US"/>
        </w:rPr>
        <w:t xml:space="preserve"> owned by investment funds managed by </w:t>
      </w:r>
      <w:r w:rsidR="0098143C">
        <w:rPr>
          <w:lang w:val="en-US"/>
        </w:rPr>
        <w:t>Rabobank</w:t>
      </w:r>
      <w:r w:rsidR="009B6037" w:rsidRPr="009B6037">
        <w:rPr>
          <w:lang w:val="en-US"/>
        </w:rPr>
        <w:t xml:space="preserve"> and its subsidiaries as per the most recent filing date available</w:t>
      </w:r>
      <w:r w:rsidR="009B6037">
        <w:rPr>
          <w:lang w:val="en-US"/>
        </w:rPr>
        <w:t>.</w:t>
      </w:r>
    </w:p>
    <w:p w:rsidR="00985FAF" w:rsidRPr="00546F0A" w:rsidRDefault="00985FAF" w:rsidP="00985FAF">
      <w:pPr>
        <w:rPr>
          <w:lang w:val="en-US"/>
        </w:rPr>
      </w:pPr>
    </w:p>
    <w:p w:rsidR="00985FAF" w:rsidRPr="00ED1F1A" w:rsidRDefault="00985FAF" w:rsidP="00985FAF">
      <w:pPr>
        <w:pStyle w:val="Tabelkop"/>
        <w:rPr>
          <w:lang w:val="en-US"/>
        </w:rPr>
      </w:pPr>
      <w:bookmarkStart w:id="54" w:name="_Ref362855211"/>
      <w:r w:rsidRPr="00ED1F1A">
        <w:rPr>
          <w:lang w:val="en-US"/>
        </w:rPr>
        <w:t xml:space="preserve">Shares </w:t>
      </w:r>
      <w:r>
        <w:rPr>
          <w:lang w:val="en-US"/>
        </w:rPr>
        <w:t>managed</w:t>
      </w:r>
      <w:r w:rsidRPr="00ED1F1A">
        <w:rPr>
          <w:lang w:val="en-US"/>
        </w:rPr>
        <w:t xml:space="preserve"> by </w:t>
      </w:r>
      <w:r>
        <w:rPr>
          <w:lang w:val="en-US"/>
        </w:rPr>
        <w:t>Rabobank</w:t>
      </w:r>
      <w:bookmarkEnd w:id="54"/>
    </w:p>
    <w:tbl>
      <w:tblPr>
        <w:tblStyle w:val="Profundo"/>
        <w:tblW w:w="8912" w:type="dxa"/>
        <w:tblLayout w:type="fixed"/>
        <w:tblLook w:val="04A0"/>
      </w:tblPr>
      <w:tblGrid>
        <w:gridCol w:w="2141"/>
        <w:gridCol w:w="2237"/>
        <w:gridCol w:w="1134"/>
        <w:gridCol w:w="852"/>
        <w:gridCol w:w="1274"/>
        <w:gridCol w:w="1274"/>
      </w:tblGrid>
      <w:tr w:rsidR="0033599C" w:rsidRPr="0033599C" w:rsidTr="0033599C">
        <w:trPr>
          <w:cnfStyle w:val="100000000000"/>
        </w:trPr>
        <w:tc>
          <w:tcPr>
            <w:cnfStyle w:val="001000000000"/>
            <w:tcW w:w="2141" w:type="dxa"/>
          </w:tcPr>
          <w:p w:rsidR="00A60540" w:rsidRPr="0033599C" w:rsidRDefault="0094488D" w:rsidP="00322909">
            <w:pPr>
              <w:pStyle w:val="Tabeltekst"/>
              <w:keepNext/>
              <w:rPr>
                <w:color w:val="595959" w:themeColor="text1" w:themeTint="A6"/>
              </w:rPr>
            </w:pPr>
            <w:r w:rsidRPr="0033599C">
              <w:rPr>
                <w:color w:val="595959" w:themeColor="text1" w:themeTint="A6"/>
              </w:rPr>
              <w:t>Behind the Brands companies</w:t>
            </w:r>
          </w:p>
        </w:tc>
        <w:tc>
          <w:tcPr>
            <w:tcW w:w="2237" w:type="dxa"/>
          </w:tcPr>
          <w:p w:rsidR="00A60540" w:rsidRPr="0033599C" w:rsidRDefault="00A60540" w:rsidP="00322909">
            <w:pPr>
              <w:keepNext/>
              <w:jc w:val="left"/>
              <w:cnfStyle w:val="100000000000"/>
              <w:rPr>
                <w:color w:val="595959" w:themeColor="text1" w:themeTint="A6"/>
                <w:sz w:val="20"/>
                <w:szCs w:val="20"/>
              </w:rPr>
            </w:pPr>
            <w:r w:rsidRPr="0033599C">
              <w:rPr>
                <w:color w:val="595959" w:themeColor="text1" w:themeTint="A6"/>
                <w:sz w:val="20"/>
                <w:szCs w:val="20"/>
              </w:rPr>
              <w:t>Investor</w:t>
            </w:r>
          </w:p>
        </w:tc>
        <w:tc>
          <w:tcPr>
            <w:tcW w:w="1134" w:type="dxa"/>
          </w:tcPr>
          <w:p w:rsidR="00A60540" w:rsidRPr="0033599C" w:rsidRDefault="00A60540" w:rsidP="0033599C">
            <w:pPr>
              <w:pStyle w:val="Tabeltekst"/>
              <w:keepNext/>
              <w:cnfStyle w:val="100000000000"/>
              <w:rPr>
                <w:color w:val="595959" w:themeColor="text1" w:themeTint="A6"/>
              </w:rPr>
            </w:pPr>
            <w:r w:rsidRPr="0033599C">
              <w:rPr>
                <w:color w:val="595959" w:themeColor="text1" w:themeTint="A6"/>
              </w:rPr>
              <w:t>Amount of shares</w:t>
            </w:r>
          </w:p>
        </w:tc>
        <w:tc>
          <w:tcPr>
            <w:tcW w:w="852" w:type="dxa"/>
          </w:tcPr>
          <w:p w:rsidR="00A60540" w:rsidRPr="0033599C" w:rsidRDefault="00A60540" w:rsidP="0033599C">
            <w:pPr>
              <w:pStyle w:val="Tabeltekst"/>
              <w:keepNext/>
              <w:cnfStyle w:val="100000000000"/>
              <w:rPr>
                <w:color w:val="595959" w:themeColor="text1" w:themeTint="A6"/>
              </w:rPr>
            </w:pPr>
            <w:r w:rsidRPr="0033599C">
              <w:rPr>
                <w:color w:val="595959" w:themeColor="text1" w:themeTint="A6"/>
              </w:rPr>
              <w:t>% of all shares</w:t>
            </w:r>
          </w:p>
        </w:tc>
        <w:tc>
          <w:tcPr>
            <w:tcW w:w="1274" w:type="dxa"/>
          </w:tcPr>
          <w:p w:rsidR="00A60540" w:rsidRPr="0033599C" w:rsidRDefault="00A60540" w:rsidP="0033599C">
            <w:pPr>
              <w:pStyle w:val="Tabeltekst"/>
              <w:keepNext/>
              <w:cnfStyle w:val="100000000000"/>
              <w:rPr>
                <w:color w:val="595959" w:themeColor="text1" w:themeTint="A6"/>
              </w:rPr>
            </w:pPr>
            <w:r w:rsidRPr="0033599C">
              <w:rPr>
                <w:color w:val="595959" w:themeColor="text1" w:themeTint="A6"/>
              </w:rPr>
              <w:t xml:space="preserve">Value </w:t>
            </w:r>
          </w:p>
          <w:p w:rsidR="00A60540" w:rsidRPr="0033599C" w:rsidRDefault="00A60540" w:rsidP="0033599C">
            <w:pPr>
              <w:pStyle w:val="Tabeltekst"/>
              <w:keepNext/>
              <w:cnfStyle w:val="100000000000"/>
              <w:rPr>
                <w:color w:val="595959" w:themeColor="text1" w:themeTint="A6"/>
              </w:rPr>
            </w:pPr>
            <w:r w:rsidRPr="0033599C">
              <w:rPr>
                <w:color w:val="595959" w:themeColor="text1" w:themeTint="A6"/>
              </w:rPr>
              <w:t>(€ million)</w:t>
            </w:r>
          </w:p>
        </w:tc>
        <w:tc>
          <w:tcPr>
            <w:tcW w:w="1274" w:type="dxa"/>
          </w:tcPr>
          <w:p w:rsidR="00A60540" w:rsidRPr="0033599C" w:rsidRDefault="00A60540" w:rsidP="0033599C">
            <w:pPr>
              <w:pStyle w:val="Tabeltekst"/>
              <w:keepNext/>
              <w:cnfStyle w:val="100000000000"/>
              <w:rPr>
                <w:color w:val="595959" w:themeColor="text1" w:themeTint="A6"/>
              </w:rPr>
            </w:pPr>
            <w:r w:rsidRPr="0033599C">
              <w:rPr>
                <w:color w:val="595959" w:themeColor="text1" w:themeTint="A6"/>
              </w:rPr>
              <w:t>Filing date</w:t>
            </w:r>
          </w:p>
        </w:tc>
      </w:tr>
      <w:tr w:rsidR="0033599C" w:rsidRPr="0033599C" w:rsidTr="0033599C">
        <w:tc>
          <w:tcPr>
            <w:cnfStyle w:val="001000000000"/>
            <w:tcW w:w="2141" w:type="dxa"/>
          </w:tcPr>
          <w:p w:rsidR="00A60540" w:rsidRPr="0033599C" w:rsidRDefault="0043685F" w:rsidP="00322909">
            <w:pPr>
              <w:pStyle w:val="Tabeltekst"/>
              <w:keepNext/>
              <w:rPr>
                <w:color w:val="595959" w:themeColor="text1" w:themeTint="A6"/>
              </w:rPr>
            </w:pPr>
            <w:r w:rsidRPr="0033599C">
              <w:rPr>
                <w:color w:val="595959" w:themeColor="text1" w:themeTint="A6"/>
              </w:rPr>
              <w:t>Coca-Cola</w:t>
            </w:r>
          </w:p>
        </w:tc>
        <w:tc>
          <w:tcPr>
            <w:tcW w:w="2237" w:type="dxa"/>
          </w:tcPr>
          <w:p w:rsidR="00A60540" w:rsidRPr="0033599C" w:rsidRDefault="0003395D" w:rsidP="00322909">
            <w:pPr>
              <w:pStyle w:val="Tabeltekst"/>
              <w:keepNext/>
              <w:jc w:val="left"/>
              <w:cnfStyle w:val="000000000000"/>
              <w:rPr>
                <w:color w:val="595959" w:themeColor="text1" w:themeTint="A6"/>
              </w:rPr>
            </w:pPr>
            <w:r w:rsidRPr="0033599C">
              <w:rPr>
                <w:color w:val="595959" w:themeColor="text1" w:themeTint="A6"/>
              </w:rPr>
              <w:t>Rabobank Nederland</w:t>
            </w:r>
          </w:p>
        </w:tc>
        <w:tc>
          <w:tcPr>
            <w:tcW w:w="1134" w:type="dxa"/>
          </w:tcPr>
          <w:p w:rsidR="00A60540" w:rsidRPr="0033599C" w:rsidRDefault="0003395D" w:rsidP="0033599C">
            <w:pPr>
              <w:keepNext/>
              <w:cnfStyle w:val="000000000000"/>
              <w:rPr>
                <w:color w:val="595959" w:themeColor="text1" w:themeTint="A6"/>
                <w:sz w:val="20"/>
                <w:szCs w:val="20"/>
              </w:rPr>
            </w:pPr>
            <w:r w:rsidRPr="0033599C">
              <w:rPr>
                <w:color w:val="595959" w:themeColor="text1" w:themeTint="A6"/>
                <w:sz w:val="20"/>
                <w:szCs w:val="20"/>
              </w:rPr>
              <w:t>41,700</w:t>
            </w:r>
          </w:p>
        </w:tc>
        <w:tc>
          <w:tcPr>
            <w:tcW w:w="852" w:type="dxa"/>
          </w:tcPr>
          <w:p w:rsidR="00A60540" w:rsidRPr="0033599C" w:rsidRDefault="0003395D" w:rsidP="0033599C">
            <w:pPr>
              <w:keepNext/>
              <w:cnfStyle w:val="000000000000"/>
              <w:rPr>
                <w:color w:val="595959" w:themeColor="text1" w:themeTint="A6"/>
                <w:sz w:val="20"/>
                <w:szCs w:val="20"/>
              </w:rPr>
            </w:pPr>
            <w:r w:rsidRPr="0033599C">
              <w:rPr>
                <w:color w:val="595959" w:themeColor="text1" w:themeTint="A6"/>
                <w:sz w:val="20"/>
                <w:szCs w:val="20"/>
              </w:rPr>
              <w:t>0.00</w:t>
            </w:r>
          </w:p>
        </w:tc>
        <w:tc>
          <w:tcPr>
            <w:tcW w:w="1274" w:type="dxa"/>
          </w:tcPr>
          <w:p w:rsidR="00A60540" w:rsidRPr="0033599C" w:rsidRDefault="0003395D" w:rsidP="0033599C">
            <w:pPr>
              <w:keepNext/>
              <w:cnfStyle w:val="000000000000"/>
              <w:rPr>
                <w:color w:val="595959" w:themeColor="text1" w:themeTint="A6"/>
                <w:sz w:val="20"/>
                <w:szCs w:val="20"/>
              </w:rPr>
            </w:pPr>
            <w:r w:rsidRPr="0033599C">
              <w:rPr>
                <w:color w:val="595959" w:themeColor="text1" w:themeTint="A6"/>
                <w:sz w:val="20"/>
                <w:szCs w:val="20"/>
              </w:rPr>
              <w:t>1.32</w:t>
            </w:r>
          </w:p>
        </w:tc>
        <w:tc>
          <w:tcPr>
            <w:tcW w:w="1274" w:type="dxa"/>
          </w:tcPr>
          <w:p w:rsidR="00A60540" w:rsidRPr="0033599C" w:rsidRDefault="00A60540" w:rsidP="0033599C">
            <w:pPr>
              <w:keepNext/>
              <w:cnfStyle w:val="000000000000"/>
              <w:rPr>
                <w:color w:val="595959" w:themeColor="text1" w:themeTint="A6"/>
                <w:sz w:val="20"/>
                <w:szCs w:val="20"/>
              </w:rPr>
            </w:pPr>
            <w:r w:rsidRPr="0033599C">
              <w:rPr>
                <w:color w:val="595959" w:themeColor="text1" w:themeTint="A6"/>
                <w:sz w:val="20"/>
                <w:szCs w:val="20"/>
              </w:rPr>
              <w:t>31-03-</w:t>
            </w:r>
            <w:r w:rsidR="007060CD" w:rsidRPr="0033599C">
              <w:rPr>
                <w:color w:val="595959" w:themeColor="text1" w:themeTint="A6"/>
                <w:sz w:val="20"/>
                <w:szCs w:val="20"/>
              </w:rPr>
              <w:t>20</w:t>
            </w:r>
            <w:r w:rsidRPr="0033599C">
              <w:rPr>
                <w:color w:val="595959" w:themeColor="text1" w:themeTint="A6"/>
                <w:sz w:val="20"/>
                <w:szCs w:val="20"/>
              </w:rPr>
              <w:t>13</w:t>
            </w:r>
          </w:p>
        </w:tc>
      </w:tr>
    </w:tbl>
    <w:p w:rsidR="00985FAF" w:rsidRPr="00144FE5" w:rsidRDefault="00985FAF" w:rsidP="00985FAF">
      <w:pPr>
        <w:pStyle w:val="Tabelbron"/>
        <w:rPr>
          <w:lang w:val="en-US"/>
        </w:rPr>
      </w:pPr>
      <w:r w:rsidRPr="00144FE5">
        <w:rPr>
          <w:lang w:val="en-US"/>
        </w:rPr>
        <w:t xml:space="preserve">Source: </w:t>
      </w:r>
      <w:r w:rsidRPr="00144FE5">
        <w:t xml:space="preserve">Thomson ONE Banker, “Share ownership”, Thomson ONE Banker (www.thomsonone.com), </w:t>
      </w:r>
      <w:r>
        <w:t>Viewed in August 2013</w:t>
      </w:r>
      <w:r w:rsidRPr="00144FE5">
        <w:rPr>
          <w:lang w:val="en-US"/>
        </w:rPr>
        <w:t>.</w:t>
      </w:r>
    </w:p>
    <w:p w:rsidR="00985FAF" w:rsidRPr="00144FE5" w:rsidRDefault="00985FAF" w:rsidP="00985FAF">
      <w:pPr>
        <w:rPr>
          <w:lang w:val="en-US"/>
        </w:rPr>
      </w:pPr>
    </w:p>
    <w:p w:rsidR="00985FAF" w:rsidRPr="00546F0A" w:rsidRDefault="00985FAF" w:rsidP="00985FAF">
      <w:pPr>
        <w:pStyle w:val="Heading2"/>
        <w:rPr>
          <w:lang w:val="en-US"/>
        </w:rPr>
      </w:pPr>
      <w:bookmarkStart w:id="55" w:name="_Toc365554363"/>
      <w:r>
        <w:rPr>
          <w:lang w:val="en-US"/>
        </w:rPr>
        <w:t>Share issuances</w:t>
      </w:r>
      <w:bookmarkEnd w:id="55"/>
    </w:p>
    <w:p w:rsidR="00FC5868" w:rsidRDefault="00FC5868" w:rsidP="00FC5868">
      <w:r w:rsidRPr="00C25ADD">
        <w:t xml:space="preserve">No information was found on the participation of </w:t>
      </w:r>
      <w:r>
        <w:t>Rabobank</w:t>
      </w:r>
      <w:r w:rsidRPr="00C25ADD">
        <w:t xml:space="preserve"> in share issuances by </w:t>
      </w:r>
      <w:r>
        <w:t>the selected food companies since 1 July 2010.</w:t>
      </w:r>
    </w:p>
    <w:p w:rsidR="00985FAF" w:rsidRPr="00FC5868" w:rsidRDefault="00985FAF" w:rsidP="00985FAF"/>
    <w:p w:rsidR="00985FAF" w:rsidRDefault="00985FAF" w:rsidP="00985FAF">
      <w:pPr>
        <w:pStyle w:val="Heading2"/>
        <w:rPr>
          <w:lang w:val="en-US"/>
        </w:rPr>
      </w:pPr>
      <w:bookmarkStart w:id="56" w:name="_Toc365554364"/>
      <w:r>
        <w:rPr>
          <w:lang w:val="en-US"/>
        </w:rPr>
        <w:t>Bondholdings</w:t>
      </w:r>
      <w:bookmarkEnd w:id="56"/>
    </w:p>
    <w:p w:rsidR="009E7E72" w:rsidRPr="000C3229" w:rsidRDefault="009E7E72" w:rsidP="009E7E72">
      <w:pPr>
        <w:rPr>
          <w:lang w:val="en-US"/>
        </w:rPr>
      </w:pPr>
      <w:r w:rsidRPr="00C25ADD">
        <w:t>No information was found on</w:t>
      </w:r>
      <w:r>
        <w:t xml:space="preserve"> bondholdings by Rabobank in bonds issued by the selected food companies.</w:t>
      </w:r>
    </w:p>
    <w:p w:rsidR="009E7E72" w:rsidRPr="009E7E72" w:rsidRDefault="009E7E72" w:rsidP="009E7E72">
      <w:pPr>
        <w:rPr>
          <w:lang w:val="en-US"/>
        </w:rPr>
      </w:pPr>
    </w:p>
    <w:p w:rsidR="00985FAF" w:rsidRDefault="00985FAF" w:rsidP="00985FAF">
      <w:pPr>
        <w:pStyle w:val="Heading2"/>
        <w:rPr>
          <w:lang w:val="en-US"/>
        </w:rPr>
      </w:pPr>
      <w:bookmarkStart w:id="57" w:name="_Toc365554365"/>
      <w:r>
        <w:rPr>
          <w:lang w:val="en-US"/>
        </w:rPr>
        <w:t>Bond issuances</w:t>
      </w:r>
      <w:bookmarkEnd w:id="57"/>
    </w:p>
    <w:p w:rsidR="00FC5868" w:rsidRPr="00C25ADD" w:rsidRDefault="00FC5868" w:rsidP="00FC5868">
      <w:r w:rsidRPr="00C25ADD">
        <w:t xml:space="preserve">Since </w:t>
      </w:r>
      <w:r>
        <w:t>1 July 2010</w:t>
      </w:r>
      <w:r w:rsidRPr="00C25ADD">
        <w:t xml:space="preserve"> </w:t>
      </w:r>
      <w:r>
        <w:t>Rabobank</w:t>
      </w:r>
      <w:r w:rsidRPr="00C25ADD">
        <w:t xml:space="preserve"> assisted </w:t>
      </w:r>
      <w:r>
        <w:t xml:space="preserve">food companies </w:t>
      </w:r>
      <w:r w:rsidRPr="00C25ADD">
        <w:t>with the following bond issuances:</w:t>
      </w:r>
    </w:p>
    <w:p w:rsidR="00FC5868" w:rsidRDefault="00FC5868" w:rsidP="00FC5868"/>
    <w:p w:rsidR="0099325D" w:rsidRDefault="0099325D" w:rsidP="009A061A">
      <w:pPr>
        <w:pStyle w:val="Opsomming1"/>
      </w:pPr>
      <w:r>
        <w:t>Kellogg:</w:t>
      </w:r>
    </w:p>
    <w:p w:rsidR="0099325D" w:rsidRPr="009A061A" w:rsidRDefault="0099325D" w:rsidP="009A061A">
      <w:pPr>
        <w:pStyle w:val="Opsomming3"/>
      </w:pPr>
      <w:r w:rsidRPr="009A061A">
        <w:t xml:space="preserve">In December 2010 Rabobank co-managed a bond issuance for Kellogg with a total value of US$ 1,000 million (€ 750 million). It was initiated for general corporate purposes and </w:t>
      </w:r>
      <w:r w:rsidR="00A3165B" w:rsidRPr="009A061A">
        <w:t>refinancing of debt</w:t>
      </w:r>
      <w:r w:rsidRPr="009A061A">
        <w:t xml:space="preserve">. The bonds mature in </w:t>
      </w:r>
      <w:r w:rsidR="00A3165B" w:rsidRPr="009A061A">
        <w:t>December 2020</w:t>
      </w:r>
      <w:r w:rsidRPr="009A061A">
        <w:t xml:space="preserve"> at a fixed rate of </w:t>
      </w:r>
      <w:r w:rsidR="00A3165B" w:rsidRPr="009A061A">
        <w:t>4</w:t>
      </w:r>
      <w:r w:rsidRPr="009A061A">
        <w:t>.</w:t>
      </w:r>
      <w:r w:rsidR="00A3165B" w:rsidRPr="009A061A">
        <w:t>0</w:t>
      </w:r>
      <w:r w:rsidRPr="009A061A">
        <w:t xml:space="preserve">%. The banking syndicate consisted of </w:t>
      </w:r>
      <w:r w:rsidR="00A3165B" w:rsidRPr="009A061A">
        <w:t>12</w:t>
      </w:r>
      <w:r w:rsidRPr="009A061A">
        <w:t xml:space="preserve"> banks</w:t>
      </w:r>
      <w:r w:rsidR="00A3165B" w:rsidRPr="009A061A">
        <w:t xml:space="preserve"> and was led by four banks</w:t>
      </w:r>
      <w:r w:rsidRPr="009A061A">
        <w:t xml:space="preserve">. Rabobank underwrote </w:t>
      </w:r>
      <w:r w:rsidR="00A3165B" w:rsidRPr="009A061A">
        <w:t>US$ 60</w:t>
      </w:r>
      <w:r w:rsidRPr="009A061A">
        <w:t xml:space="preserve"> million (€ </w:t>
      </w:r>
      <w:r w:rsidR="00A3165B" w:rsidRPr="009A061A">
        <w:t>45</w:t>
      </w:r>
      <w:r w:rsidRPr="009A061A">
        <w:t xml:space="preserve"> million).</w:t>
      </w:r>
      <w:r w:rsidRPr="009A061A">
        <w:rPr>
          <w:rStyle w:val="EndnoteReference"/>
          <w:rFonts w:cs="Arial"/>
          <w:vertAlign w:val="baseline"/>
        </w:rPr>
        <w:endnoteReference w:id="38"/>
      </w:r>
      <w:r w:rsidRPr="009A061A">
        <w:t xml:space="preserve"> </w:t>
      </w:r>
    </w:p>
    <w:p w:rsidR="00A3165B" w:rsidRPr="009A061A" w:rsidRDefault="00A3165B" w:rsidP="009A061A">
      <w:pPr>
        <w:pStyle w:val="Opsomming3"/>
        <w:numPr>
          <w:ilvl w:val="0"/>
          <w:numId w:val="0"/>
        </w:numPr>
        <w:ind w:left="567"/>
      </w:pPr>
    </w:p>
    <w:p w:rsidR="00A3165B" w:rsidRPr="009A061A" w:rsidRDefault="00A3165B" w:rsidP="009A061A">
      <w:pPr>
        <w:pStyle w:val="Opsomming3"/>
      </w:pPr>
      <w:r w:rsidRPr="009A061A">
        <w:t>In May 2011 Rabobank co-managed a bond issuance for Kellogg with a total value of US$ 400 million (€ 283 million). It was initiated for general corporate purposes and refinancing of debt. The bonds mature in May 2018 at a fixed rate of 3.25%. The banking syndicate consisted of eight banks and was led by two banks. Rabobank underwrote US$ 24 million (€ 17 million).</w:t>
      </w:r>
      <w:r w:rsidRPr="009A061A">
        <w:rPr>
          <w:rStyle w:val="EndnoteReference"/>
          <w:rFonts w:cs="Arial"/>
          <w:vertAlign w:val="baseline"/>
        </w:rPr>
        <w:endnoteReference w:id="39"/>
      </w:r>
      <w:r w:rsidRPr="009A061A">
        <w:t xml:space="preserve"> </w:t>
      </w:r>
    </w:p>
    <w:p w:rsidR="00A3165B" w:rsidRDefault="00A3165B" w:rsidP="00A3165B">
      <w:pPr>
        <w:pStyle w:val="ListParagraph"/>
      </w:pPr>
    </w:p>
    <w:p w:rsidR="00A3165B" w:rsidRPr="00C25ADD" w:rsidRDefault="00A3165B" w:rsidP="009A061A">
      <w:pPr>
        <w:pStyle w:val="Opsomming3"/>
      </w:pPr>
      <w:r w:rsidRPr="00C25ADD">
        <w:t xml:space="preserve">In </w:t>
      </w:r>
      <w:r>
        <w:t>November</w:t>
      </w:r>
      <w:r w:rsidRPr="00C25ADD">
        <w:t xml:space="preserve"> 20</w:t>
      </w:r>
      <w:r>
        <w:t>11 Rabobank co-managed a bond</w:t>
      </w:r>
      <w:r w:rsidRPr="00C25ADD">
        <w:t xml:space="preserve"> issuance for </w:t>
      </w:r>
      <w:r>
        <w:rPr>
          <w:lang w:val="en-US"/>
        </w:rPr>
        <w:t>Kellogg</w:t>
      </w:r>
      <w:r>
        <w:t xml:space="preserve"> with a total value of US$ 500 million (€ 364 million). </w:t>
      </w:r>
      <w:r w:rsidRPr="00C25ADD">
        <w:t xml:space="preserve">It was initiated for general corporate </w:t>
      </w:r>
      <w:r>
        <w:t>purposes and refinancing of debt</w:t>
      </w:r>
      <w:r w:rsidRPr="00C25ADD">
        <w:t xml:space="preserve">. The bonds mature in </w:t>
      </w:r>
      <w:r>
        <w:t xml:space="preserve">November 2016 </w:t>
      </w:r>
      <w:r w:rsidRPr="00C25ADD">
        <w:t xml:space="preserve">at a </w:t>
      </w:r>
      <w:r>
        <w:t xml:space="preserve">fixed </w:t>
      </w:r>
      <w:r w:rsidRPr="00C25ADD">
        <w:t xml:space="preserve">rate of </w:t>
      </w:r>
      <w:r>
        <w:t>1.875</w:t>
      </w:r>
      <w:r w:rsidRPr="00C25ADD">
        <w:t>%</w:t>
      </w:r>
      <w:r>
        <w:t>.</w:t>
      </w:r>
      <w:r w:rsidRPr="00C25ADD">
        <w:t xml:space="preserve"> </w:t>
      </w:r>
      <w:r>
        <w:t>The banking syndicate consisted of 12 banks and was led by four banks including Rabobank. Rabobank underwrote US$ 75 million (</w:t>
      </w:r>
      <w:r w:rsidRPr="00C25ADD">
        <w:t xml:space="preserve">€ </w:t>
      </w:r>
      <w:r>
        <w:t>55 million).</w:t>
      </w:r>
      <w:r w:rsidRPr="00031898">
        <w:rPr>
          <w:rStyle w:val="EndnoteReference"/>
        </w:rPr>
        <w:endnoteReference w:id="40"/>
      </w:r>
      <w:r w:rsidRPr="00C25ADD">
        <w:t xml:space="preserve"> </w:t>
      </w:r>
    </w:p>
    <w:p w:rsidR="00A3165B" w:rsidRDefault="00A3165B" w:rsidP="009A061A">
      <w:pPr>
        <w:pStyle w:val="Opsomming3"/>
        <w:numPr>
          <w:ilvl w:val="0"/>
          <w:numId w:val="0"/>
        </w:numPr>
        <w:ind w:left="567"/>
        <w:rPr>
          <w:b/>
          <w:lang w:val="en-US"/>
        </w:rPr>
      </w:pPr>
    </w:p>
    <w:p w:rsidR="00B06FF3" w:rsidRPr="00C25ADD" w:rsidRDefault="00B06FF3" w:rsidP="009A061A">
      <w:pPr>
        <w:pStyle w:val="Opsomming3"/>
      </w:pPr>
      <w:r w:rsidRPr="00C25ADD">
        <w:lastRenderedPageBreak/>
        <w:t xml:space="preserve">In </w:t>
      </w:r>
      <w:r>
        <w:t>May</w:t>
      </w:r>
      <w:r w:rsidRPr="00C25ADD">
        <w:t xml:space="preserve"> 20</w:t>
      </w:r>
      <w:r>
        <w:t>12 Rabobank co-managed a bond</w:t>
      </w:r>
      <w:r w:rsidRPr="00C25ADD">
        <w:t xml:space="preserve"> issuance for </w:t>
      </w:r>
      <w:r>
        <w:rPr>
          <w:lang w:val="en-US"/>
        </w:rPr>
        <w:t>Kellogg</w:t>
      </w:r>
      <w:r>
        <w:t xml:space="preserve"> with a total value of US$ 1,450 million (€ 1,123 million). </w:t>
      </w:r>
      <w:r w:rsidRPr="00C25ADD">
        <w:t xml:space="preserve">It was initiated for general corporate </w:t>
      </w:r>
      <w:r>
        <w:t>purposes and future acquisitions. The bond issuance was split into three tranches: a three-year 1.125% bond with a total value of US$ 350 million, a five-year 1.75% bond with a total value of US$ 400 million and a ten-year 3.125% bond with a total value of US$ 700 million. The banking syndicate consisted of 11 banks and was led by five banks. Rabobank underwrote US$ 145 million (</w:t>
      </w:r>
      <w:r w:rsidRPr="00C25ADD">
        <w:t xml:space="preserve">€ </w:t>
      </w:r>
      <w:r>
        <w:t>112 million).</w:t>
      </w:r>
      <w:r w:rsidRPr="00031898">
        <w:rPr>
          <w:rStyle w:val="EndnoteReference"/>
        </w:rPr>
        <w:endnoteReference w:id="41"/>
      </w:r>
      <w:r w:rsidRPr="00C25ADD">
        <w:t xml:space="preserve"> </w:t>
      </w:r>
    </w:p>
    <w:p w:rsidR="00B06FF3" w:rsidRDefault="00B06FF3" w:rsidP="009A061A">
      <w:pPr>
        <w:pStyle w:val="Opsomming3"/>
        <w:numPr>
          <w:ilvl w:val="0"/>
          <w:numId w:val="0"/>
        </w:numPr>
        <w:ind w:left="567"/>
        <w:rPr>
          <w:b/>
          <w:lang w:val="en-US"/>
        </w:rPr>
      </w:pPr>
    </w:p>
    <w:p w:rsidR="00B06FF3" w:rsidRPr="00C25ADD" w:rsidRDefault="00B06FF3" w:rsidP="009A061A">
      <w:pPr>
        <w:pStyle w:val="Opsomming3"/>
      </w:pPr>
      <w:r w:rsidRPr="00C25ADD">
        <w:t xml:space="preserve">In </w:t>
      </w:r>
      <w:r>
        <w:t>February</w:t>
      </w:r>
      <w:r w:rsidRPr="00C25ADD">
        <w:t xml:space="preserve"> 20</w:t>
      </w:r>
      <w:r>
        <w:t>13 Rabobank co-managed a bond</w:t>
      </w:r>
      <w:r w:rsidRPr="00C25ADD">
        <w:t xml:space="preserve"> issuance for </w:t>
      </w:r>
      <w:r>
        <w:rPr>
          <w:lang w:val="en-US"/>
        </w:rPr>
        <w:t>Kellogg</w:t>
      </w:r>
      <w:r>
        <w:t xml:space="preserve"> with a total value of US$ 650 million (€ 486 million). </w:t>
      </w:r>
      <w:r w:rsidRPr="00C25ADD">
        <w:t xml:space="preserve">It was initiated for general corporate </w:t>
      </w:r>
      <w:r>
        <w:t>purposes and to reduce indebtedness. The bond issuance was split into two tranches: a two-year floating rate bond with a total value of US$ 250 million and a ten-year 2.75% bond with a total value of US$ 400 million. The banking syndicate consisted of 18 banks and was led by three banks. Rabobank underwrote US$ 13 million (</w:t>
      </w:r>
      <w:r w:rsidRPr="00C25ADD">
        <w:t xml:space="preserve">€ </w:t>
      </w:r>
      <w:r>
        <w:t>10 million).</w:t>
      </w:r>
      <w:r w:rsidRPr="00031898">
        <w:rPr>
          <w:rStyle w:val="EndnoteReference"/>
        </w:rPr>
        <w:endnoteReference w:id="42"/>
      </w:r>
      <w:r w:rsidRPr="00C25ADD">
        <w:t xml:space="preserve"> </w:t>
      </w:r>
    </w:p>
    <w:p w:rsidR="00B06FF3" w:rsidRDefault="00B06FF3" w:rsidP="0080020D">
      <w:pPr>
        <w:rPr>
          <w:b/>
          <w:lang w:val="en-US"/>
        </w:rPr>
      </w:pPr>
    </w:p>
    <w:p w:rsidR="00D04229" w:rsidRDefault="00D04229" w:rsidP="009A061A">
      <w:pPr>
        <w:pStyle w:val="Opsomming1"/>
        <w:rPr>
          <w:lang w:val="en-US"/>
        </w:rPr>
      </w:pPr>
      <w:r>
        <w:rPr>
          <w:lang w:val="en-US"/>
        </w:rPr>
        <w:t>Mars:</w:t>
      </w:r>
    </w:p>
    <w:p w:rsidR="00D04229" w:rsidRPr="009A061A" w:rsidRDefault="00D04229" w:rsidP="009A061A">
      <w:pPr>
        <w:pStyle w:val="Opsomming3"/>
      </w:pPr>
      <w:r w:rsidRPr="009A061A">
        <w:t xml:space="preserve">In October 2012 Rabobank co-managed a bond issuance for </w:t>
      </w:r>
      <w:r w:rsidR="0006075C" w:rsidRPr="009A061A">
        <w:t>Mars</w:t>
      </w:r>
      <w:r w:rsidRPr="009A061A">
        <w:t xml:space="preserve"> with a total value of US$ 2,000 million (€ 1,554 million). It was initiated for general corporate purposes. The bond issuance was split into six tranches: </w:t>
      </w:r>
    </w:p>
    <w:p w:rsidR="00D04229" w:rsidRDefault="00D04229" w:rsidP="009A061A">
      <w:pPr>
        <w:pStyle w:val="Opsomming4"/>
      </w:pPr>
      <w:r>
        <w:t xml:space="preserve">a </w:t>
      </w:r>
      <w:r w:rsidR="001F5039">
        <w:t>15</w:t>
      </w:r>
      <w:r>
        <w:t>-year 3.74% bond with a total value of US$ 395 million</w:t>
      </w:r>
      <w:r w:rsidR="00F9089D">
        <w:t>;</w:t>
      </w:r>
    </w:p>
    <w:p w:rsidR="001F5039" w:rsidRDefault="001F5039" w:rsidP="009A061A">
      <w:pPr>
        <w:pStyle w:val="Opsomming4"/>
      </w:pPr>
      <w:r>
        <w:t>a 12-year 3.49% bond with a total value of US$ 450 million</w:t>
      </w:r>
      <w:r w:rsidR="00F9089D">
        <w:t>;</w:t>
      </w:r>
    </w:p>
    <w:p w:rsidR="001F5039" w:rsidRDefault="001F5039" w:rsidP="009A061A">
      <w:pPr>
        <w:pStyle w:val="Opsomming4"/>
      </w:pPr>
      <w:r>
        <w:t>a 10-year 3.34% bond with a total value of US$ 333 million</w:t>
      </w:r>
      <w:r w:rsidR="00F9089D">
        <w:t>;</w:t>
      </w:r>
    </w:p>
    <w:p w:rsidR="009B478D" w:rsidRDefault="009B478D" w:rsidP="009A061A">
      <w:pPr>
        <w:pStyle w:val="Opsomming4"/>
      </w:pPr>
      <w:r>
        <w:t>a 10-year 3.25% bond with a total value of US$ 155</w:t>
      </w:r>
      <w:r w:rsidR="00F9089D">
        <w:t xml:space="preserve"> million;</w:t>
      </w:r>
    </w:p>
    <w:p w:rsidR="001F5039" w:rsidRDefault="001F5039" w:rsidP="009A061A">
      <w:pPr>
        <w:pStyle w:val="Opsomming4"/>
      </w:pPr>
      <w:r>
        <w:t>a 7-year 2.72% bond with a total value of US$ 333 million</w:t>
      </w:r>
      <w:r w:rsidR="00F9089D">
        <w:t>;</w:t>
      </w:r>
    </w:p>
    <w:p w:rsidR="00D04229" w:rsidRDefault="001F5039" w:rsidP="009A061A">
      <w:pPr>
        <w:pStyle w:val="Opsomming4"/>
      </w:pPr>
      <w:r>
        <w:t>a 5-year 2.19% bond with a total value of US$ 334 million</w:t>
      </w:r>
      <w:r w:rsidR="00F9089D">
        <w:t>.</w:t>
      </w:r>
    </w:p>
    <w:p w:rsidR="00D04229" w:rsidRPr="00C25ADD" w:rsidRDefault="00D04229" w:rsidP="00D04229">
      <w:pPr>
        <w:pStyle w:val="Opsomming3"/>
        <w:numPr>
          <w:ilvl w:val="0"/>
          <w:numId w:val="0"/>
        </w:numPr>
        <w:ind w:left="567" w:hanging="283"/>
      </w:pPr>
      <w:r>
        <w:tab/>
        <w:t xml:space="preserve">The banking syndicate consisted of </w:t>
      </w:r>
      <w:r w:rsidR="001F5039">
        <w:t>six</w:t>
      </w:r>
      <w:r>
        <w:t xml:space="preserve"> banks. Rabobank</w:t>
      </w:r>
      <w:r w:rsidR="001F5039">
        <w:t>’s share is estimated at US$ 333</w:t>
      </w:r>
      <w:r>
        <w:t xml:space="preserve"> million (</w:t>
      </w:r>
      <w:r w:rsidRPr="00C25ADD">
        <w:t xml:space="preserve">€ </w:t>
      </w:r>
      <w:r w:rsidR="001F5039">
        <w:t>259</w:t>
      </w:r>
      <w:r>
        <w:t xml:space="preserve"> million).</w:t>
      </w:r>
      <w:r w:rsidRPr="00031898">
        <w:rPr>
          <w:rStyle w:val="EndnoteReference"/>
        </w:rPr>
        <w:endnoteReference w:id="43"/>
      </w:r>
      <w:r w:rsidRPr="00C25ADD">
        <w:t xml:space="preserve"> </w:t>
      </w:r>
    </w:p>
    <w:p w:rsidR="00D04229" w:rsidRDefault="00D04229" w:rsidP="0080020D">
      <w:pPr>
        <w:rPr>
          <w:b/>
          <w:lang w:val="en-US"/>
        </w:rPr>
      </w:pPr>
    </w:p>
    <w:p w:rsidR="0080020D" w:rsidRPr="00E85EC3" w:rsidRDefault="0080020D" w:rsidP="009A061A">
      <w:pPr>
        <w:pStyle w:val="Opsomming1"/>
        <w:rPr>
          <w:lang w:val="en-US"/>
        </w:rPr>
      </w:pPr>
      <w:r w:rsidRPr="00E85EC3">
        <w:rPr>
          <w:lang w:val="en-US"/>
        </w:rPr>
        <w:t>Nestlé:</w:t>
      </w:r>
    </w:p>
    <w:p w:rsidR="0080020D" w:rsidRPr="009A061A" w:rsidRDefault="0080020D" w:rsidP="009A061A">
      <w:pPr>
        <w:pStyle w:val="Opsomming3"/>
      </w:pPr>
      <w:r w:rsidRPr="009A061A">
        <w:t xml:space="preserve">In January 2011 Rabobank co-managed a bond issuance for Nestlé with a total value of A$ 275 million (€ 200 million), split into an A$ 175 million tranche and an A$ 100 milion tranche. The intended use of the proceeds is unknown. The bonds mature in January 2016 at a fixed rate of 5.5%. The banking syndicate consisted of </w:t>
      </w:r>
      <w:r w:rsidR="00D54E01" w:rsidRPr="009A061A">
        <w:t>ten</w:t>
      </w:r>
      <w:r w:rsidRPr="009A061A">
        <w:t xml:space="preserve"> banks. Rabobank</w:t>
      </w:r>
      <w:r w:rsidR="00D54E01" w:rsidRPr="009A061A">
        <w:t xml:space="preserve"> underwrote A$ 2 million to the A$ 175 million tranche. Rabobank</w:t>
      </w:r>
      <w:r w:rsidRPr="009A061A">
        <w:t>’s share</w:t>
      </w:r>
      <w:r w:rsidR="00D54E01" w:rsidRPr="009A061A">
        <w:t xml:space="preserve"> of the A$ 100 million tranche is unknown. Rabobank’s total share</w:t>
      </w:r>
      <w:r w:rsidRPr="009A061A">
        <w:t xml:space="preserve"> is estimated at A$ 3 million (€ </w:t>
      </w:r>
      <w:r w:rsidR="00D54E01" w:rsidRPr="009A061A">
        <w:t>2</w:t>
      </w:r>
      <w:r w:rsidRPr="009A061A">
        <w:t xml:space="preserve"> million).</w:t>
      </w:r>
      <w:r w:rsidRPr="008411FC">
        <w:rPr>
          <w:rStyle w:val="EndnoteReference"/>
          <w:rFonts w:cs="Arial"/>
        </w:rPr>
        <w:endnoteReference w:id="44"/>
      </w:r>
      <w:r w:rsidRPr="008411FC">
        <w:rPr>
          <w:vertAlign w:val="superscript"/>
        </w:rPr>
        <w:t xml:space="preserve"> </w:t>
      </w:r>
    </w:p>
    <w:p w:rsidR="00D54E01" w:rsidRPr="009A061A" w:rsidRDefault="00D54E01" w:rsidP="009A061A">
      <w:pPr>
        <w:pStyle w:val="Opsomming3"/>
        <w:numPr>
          <w:ilvl w:val="0"/>
          <w:numId w:val="0"/>
        </w:numPr>
        <w:ind w:left="567"/>
      </w:pPr>
    </w:p>
    <w:p w:rsidR="00D54E01" w:rsidRPr="009A061A" w:rsidRDefault="00D54E01" w:rsidP="009A061A">
      <w:pPr>
        <w:pStyle w:val="Opsomming3"/>
      </w:pPr>
      <w:r w:rsidRPr="009A061A">
        <w:t>In February 2011 Rabobank co-managed a bond issuance for Nestlé with a total value of NOK 1,000 million (€ 127 million). The intended use of the proceeds is unknown. The bonds mature in February 2016 at a fixed rate of 3.375%. The banking syndicate consisted of nine banks. Rabobank underwrote NOK 15 million (€ 2 million).</w:t>
      </w:r>
      <w:r w:rsidRPr="008411FC">
        <w:rPr>
          <w:rStyle w:val="EndnoteReference"/>
          <w:rFonts w:cs="Arial"/>
        </w:rPr>
        <w:endnoteReference w:id="45"/>
      </w:r>
      <w:r w:rsidRPr="009A061A">
        <w:t xml:space="preserve"> </w:t>
      </w:r>
    </w:p>
    <w:p w:rsidR="00D54E01" w:rsidRPr="009A061A" w:rsidRDefault="00D54E01" w:rsidP="009A061A">
      <w:pPr>
        <w:pStyle w:val="Opsomming3"/>
        <w:numPr>
          <w:ilvl w:val="0"/>
          <w:numId w:val="0"/>
        </w:numPr>
        <w:ind w:left="567"/>
      </w:pPr>
    </w:p>
    <w:p w:rsidR="0099325D" w:rsidRPr="009A061A" w:rsidRDefault="0099325D" w:rsidP="009A061A">
      <w:pPr>
        <w:pStyle w:val="Opsomming3"/>
      </w:pPr>
      <w:r w:rsidRPr="009A061A">
        <w:t>In March 2012 Rabobank co-managed a bond issuance for Nestlé with a total value of A$ 125 million (€ 99 million). The intended use of the proceeds is unknown. The bonds mature in March 2017 at a fixed rate of 4.625%. The banking syndicate consisted of six banks. Rabobank underwrote A$ 2 million (€ 1.6 million).</w:t>
      </w:r>
      <w:r w:rsidRPr="008411FC">
        <w:rPr>
          <w:rStyle w:val="EndnoteReference"/>
          <w:rFonts w:cs="Arial"/>
        </w:rPr>
        <w:endnoteReference w:id="46"/>
      </w:r>
      <w:r w:rsidRPr="009A061A">
        <w:t xml:space="preserve"> </w:t>
      </w:r>
    </w:p>
    <w:p w:rsidR="0080020D" w:rsidRPr="00FC5868" w:rsidRDefault="0080020D" w:rsidP="00FC5868"/>
    <w:p w:rsidR="00985FAF" w:rsidRPr="00FC5868" w:rsidRDefault="00FC5868" w:rsidP="009A061A">
      <w:pPr>
        <w:pStyle w:val="Opsomming1"/>
        <w:rPr>
          <w:lang w:val="en-US"/>
        </w:rPr>
      </w:pPr>
      <w:r w:rsidRPr="00FC5868">
        <w:rPr>
          <w:lang w:val="en-US"/>
        </w:rPr>
        <w:t>Bunge:</w:t>
      </w:r>
    </w:p>
    <w:p w:rsidR="00FC5868" w:rsidRPr="009A061A" w:rsidRDefault="00FC5868" w:rsidP="009A061A">
      <w:pPr>
        <w:pStyle w:val="Opsomming3"/>
      </w:pPr>
      <w:r w:rsidRPr="009A061A">
        <w:t>In June 2012 Rabobank co-managed a bond issuance for Bunge with a total value of US$ 600 million (€ 481 million). It was initiated for general corporate</w:t>
      </w:r>
      <w:r w:rsidR="0006075C" w:rsidRPr="009A061A">
        <w:t xml:space="preserve"> purposes</w:t>
      </w:r>
      <w:r w:rsidRPr="009A061A">
        <w:t xml:space="preserve"> and to reduce indebtedness. The bonds mature in June 2017 at a fixed rate of 3.2%. The banking syndicate consisted of 14 banks. Rabobank underwrote US$ </w:t>
      </w:r>
      <w:r w:rsidR="0006075C" w:rsidRPr="009A061A">
        <w:t>17</w:t>
      </w:r>
      <w:r w:rsidRPr="009A061A">
        <w:t xml:space="preserve"> million (€ </w:t>
      </w:r>
      <w:r w:rsidR="0006075C" w:rsidRPr="009A061A">
        <w:t>13</w:t>
      </w:r>
      <w:r w:rsidRPr="009A061A">
        <w:t xml:space="preserve"> million).</w:t>
      </w:r>
      <w:r w:rsidRPr="008411FC">
        <w:rPr>
          <w:rStyle w:val="EndnoteReference"/>
          <w:rFonts w:cs="Arial"/>
        </w:rPr>
        <w:endnoteReference w:id="47"/>
      </w:r>
      <w:r w:rsidRPr="009A061A">
        <w:t xml:space="preserve"> </w:t>
      </w:r>
    </w:p>
    <w:p w:rsidR="00FC5868" w:rsidRDefault="00FC5868" w:rsidP="00985FAF">
      <w:pPr>
        <w:rPr>
          <w:lang w:val="en-US"/>
        </w:rPr>
      </w:pPr>
    </w:p>
    <w:p w:rsidR="0006075C" w:rsidRPr="00FC5868" w:rsidRDefault="0006075C" w:rsidP="009A061A">
      <w:pPr>
        <w:pStyle w:val="Opsomming1"/>
        <w:rPr>
          <w:lang w:val="en-US"/>
        </w:rPr>
      </w:pPr>
      <w:r>
        <w:rPr>
          <w:lang w:val="en-US"/>
        </w:rPr>
        <w:lastRenderedPageBreak/>
        <w:t>Cargill</w:t>
      </w:r>
      <w:r w:rsidRPr="00FC5868">
        <w:rPr>
          <w:lang w:val="en-US"/>
        </w:rPr>
        <w:t>:</w:t>
      </w:r>
    </w:p>
    <w:p w:rsidR="0006075C" w:rsidRPr="009A061A" w:rsidRDefault="0006075C" w:rsidP="009A061A">
      <w:pPr>
        <w:pStyle w:val="Opsomming3"/>
      </w:pPr>
      <w:r w:rsidRPr="009A061A">
        <w:t>In November 2011 Rabobank co-managed a bond issuance for Cargill with a total value of US$ 500 million (€ 364 million). It was initiated for general corporate purposes. The bonds mature in November 2021 at a fixed rate of 3.25%. The banking syndicate consisted of five banks and was led by two banks. Rabobank’s share is estimated at US$ 56 million (€ 40 million).</w:t>
      </w:r>
      <w:r w:rsidRPr="008411FC">
        <w:rPr>
          <w:rStyle w:val="EndnoteReference"/>
          <w:rFonts w:cs="Arial"/>
        </w:rPr>
        <w:endnoteReference w:id="48"/>
      </w:r>
      <w:r w:rsidRPr="009A061A">
        <w:t xml:space="preserve"> </w:t>
      </w:r>
    </w:p>
    <w:p w:rsidR="0006075C" w:rsidRPr="0006075C" w:rsidRDefault="0006075C" w:rsidP="00985FAF"/>
    <w:p w:rsidR="00985FAF" w:rsidRPr="00ED1F1A" w:rsidRDefault="00985FAF" w:rsidP="00985FAF">
      <w:pPr>
        <w:pStyle w:val="Heading2"/>
        <w:rPr>
          <w:lang w:val="en-US"/>
        </w:rPr>
      </w:pPr>
      <w:bookmarkStart w:id="58" w:name="_Toc365554366"/>
      <w:r>
        <w:rPr>
          <w:lang w:val="en-US"/>
        </w:rPr>
        <w:t>Loans</w:t>
      </w:r>
      <w:bookmarkEnd w:id="58"/>
    </w:p>
    <w:p w:rsidR="00887051" w:rsidRDefault="00887051" w:rsidP="00887051">
      <w:pPr>
        <w:rPr>
          <w:lang w:val="en-US"/>
        </w:rPr>
      </w:pPr>
      <w:r w:rsidRPr="009A46A4">
        <w:rPr>
          <w:lang w:val="en-US"/>
        </w:rPr>
        <w:t>Since</w:t>
      </w:r>
      <w:r>
        <w:rPr>
          <w:lang w:val="en-US"/>
        </w:rPr>
        <w:t xml:space="preserve"> 1</w:t>
      </w:r>
      <w:r w:rsidRPr="009A46A4">
        <w:rPr>
          <w:lang w:val="en-US"/>
        </w:rPr>
        <w:t xml:space="preserve"> </w:t>
      </w:r>
      <w:r>
        <w:rPr>
          <w:lang w:val="en-US"/>
        </w:rPr>
        <w:t>July</w:t>
      </w:r>
      <w:r w:rsidRPr="009A46A4">
        <w:rPr>
          <w:lang w:val="en-US"/>
        </w:rPr>
        <w:t xml:space="preserve"> 20</w:t>
      </w:r>
      <w:r>
        <w:rPr>
          <w:lang w:val="en-US"/>
        </w:rPr>
        <w:t>10</w:t>
      </w:r>
      <w:r w:rsidRPr="009A46A4">
        <w:rPr>
          <w:lang w:val="en-US"/>
        </w:rPr>
        <w:t xml:space="preserve"> </w:t>
      </w:r>
      <w:r>
        <w:rPr>
          <w:lang w:val="en-US"/>
        </w:rPr>
        <w:t>Rabobank</w:t>
      </w:r>
      <w:r w:rsidRPr="009A46A4">
        <w:rPr>
          <w:lang w:val="en-US"/>
        </w:rPr>
        <w:t xml:space="preserve"> provided the following loans to </w:t>
      </w:r>
      <w:r w:rsidR="003259AC">
        <w:rPr>
          <w:lang w:val="en-US"/>
        </w:rPr>
        <w:t xml:space="preserve">the </w:t>
      </w:r>
      <w:r>
        <w:rPr>
          <w:lang w:val="en-US"/>
        </w:rPr>
        <w:t>food companies</w:t>
      </w:r>
      <w:r w:rsidR="003259AC">
        <w:rPr>
          <w:lang w:val="en-US"/>
        </w:rPr>
        <w:t xml:space="preserve"> researched:</w:t>
      </w:r>
    </w:p>
    <w:p w:rsidR="00887051" w:rsidRDefault="00887051" w:rsidP="00887051">
      <w:pPr>
        <w:rPr>
          <w:lang w:val="en-US"/>
        </w:rPr>
      </w:pPr>
    </w:p>
    <w:p w:rsidR="0099325D" w:rsidRPr="009A46A4" w:rsidRDefault="0099325D" w:rsidP="009A061A">
      <w:pPr>
        <w:pStyle w:val="Opsomming1"/>
        <w:rPr>
          <w:lang w:val="en-US"/>
        </w:rPr>
      </w:pPr>
      <w:r>
        <w:rPr>
          <w:lang w:val="en-US"/>
        </w:rPr>
        <w:t>Associated British Foods</w:t>
      </w:r>
      <w:r w:rsidRPr="009A46A4">
        <w:rPr>
          <w:lang w:val="en-US"/>
        </w:rPr>
        <w:t>:</w:t>
      </w:r>
    </w:p>
    <w:p w:rsidR="0099325D" w:rsidRPr="009A46A4" w:rsidRDefault="0099325D" w:rsidP="009A061A">
      <w:pPr>
        <w:pStyle w:val="Opsomming3"/>
        <w:rPr>
          <w:lang w:val="en-US"/>
        </w:rPr>
      </w:pPr>
      <w:r>
        <w:rPr>
          <w:lang w:val="en-US"/>
        </w:rPr>
        <w:t xml:space="preserve">In July 2010 Rabobank </w:t>
      </w:r>
      <w:r w:rsidRPr="009A46A4">
        <w:rPr>
          <w:lang w:val="en-US"/>
        </w:rPr>
        <w:t xml:space="preserve">participated in a syndicated revolving credit facility for </w:t>
      </w:r>
      <w:r>
        <w:rPr>
          <w:lang w:val="en-US"/>
        </w:rPr>
        <w:t>Associated British Foods</w:t>
      </w:r>
      <w:r w:rsidRPr="009A46A4">
        <w:rPr>
          <w:lang w:val="en-US"/>
        </w:rPr>
        <w:t>. The total</w:t>
      </w:r>
      <w:r>
        <w:rPr>
          <w:lang w:val="en-US"/>
        </w:rPr>
        <w:t xml:space="preserve"> value of the facility was £ 1</w:t>
      </w:r>
      <w:r w:rsidRPr="009A46A4">
        <w:rPr>
          <w:lang w:val="en-US"/>
        </w:rPr>
        <w:t>,</w:t>
      </w:r>
      <w:r>
        <w:rPr>
          <w:lang w:val="en-US"/>
        </w:rPr>
        <w:t>150</w:t>
      </w:r>
      <w:r w:rsidRPr="009A46A4">
        <w:rPr>
          <w:lang w:val="en-US"/>
        </w:rPr>
        <w:t xml:space="preserve"> million (€ </w:t>
      </w:r>
      <w:r>
        <w:rPr>
          <w:lang w:val="en-US"/>
        </w:rPr>
        <w:t>1,387</w:t>
      </w:r>
      <w:r w:rsidRPr="009A46A4">
        <w:rPr>
          <w:lang w:val="en-US"/>
        </w:rPr>
        <w:t xml:space="preserve"> million</w:t>
      </w:r>
      <w:r>
        <w:rPr>
          <w:lang w:val="en-US"/>
        </w:rPr>
        <w:t>). The banking syndicate consisted of 11</w:t>
      </w:r>
      <w:r w:rsidRPr="009A46A4">
        <w:rPr>
          <w:lang w:val="en-US"/>
        </w:rPr>
        <w:t xml:space="preserve"> banks</w:t>
      </w:r>
      <w:r>
        <w:rPr>
          <w:lang w:val="en-US"/>
        </w:rPr>
        <w:t xml:space="preserve"> and was led by six banks</w:t>
      </w:r>
      <w:r w:rsidRPr="009A46A4">
        <w:rPr>
          <w:lang w:val="en-US"/>
        </w:rPr>
        <w:t xml:space="preserve">. The maturity date is in </w:t>
      </w:r>
      <w:r>
        <w:rPr>
          <w:lang w:val="en-US"/>
        </w:rPr>
        <w:t>July</w:t>
      </w:r>
      <w:r w:rsidRPr="009A46A4">
        <w:rPr>
          <w:lang w:val="en-US"/>
        </w:rPr>
        <w:t xml:space="preserve"> 201</w:t>
      </w:r>
      <w:r>
        <w:rPr>
          <w:lang w:val="en-US"/>
        </w:rPr>
        <w:t>5</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Rabobank’s share is estimated at £</w:t>
      </w:r>
      <w:r w:rsidRPr="009A46A4">
        <w:rPr>
          <w:lang w:val="en-US"/>
        </w:rPr>
        <w:t xml:space="preserve"> </w:t>
      </w:r>
      <w:r>
        <w:rPr>
          <w:lang w:val="en-US"/>
        </w:rPr>
        <w:t>58</w:t>
      </w:r>
      <w:r w:rsidRPr="009A46A4">
        <w:rPr>
          <w:lang w:val="en-US"/>
        </w:rPr>
        <w:t xml:space="preserve"> million (€ </w:t>
      </w:r>
      <w:r>
        <w:rPr>
          <w:lang w:val="en-US"/>
        </w:rPr>
        <w:t>69</w:t>
      </w:r>
      <w:r w:rsidRPr="009A46A4">
        <w:rPr>
          <w:lang w:val="en-US"/>
        </w:rPr>
        <w:t xml:space="preserve"> million).</w:t>
      </w:r>
      <w:r w:rsidRPr="00031898">
        <w:rPr>
          <w:rStyle w:val="EndnoteReference"/>
        </w:rPr>
        <w:endnoteReference w:id="49"/>
      </w:r>
    </w:p>
    <w:p w:rsidR="0099325D" w:rsidRDefault="0099325D" w:rsidP="00887051">
      <w:pPr>
        <w:rPr>
          <w:lang w:val="en-US"/>
        </w:rPr>
      </w:pPr>
    </w:p>
    <w:p w:rsidR="0099325D" w:rsidRPr="0099325D" w:rsidRDefault="0099325D" w:rsidP="009A061A">
      <w:pPr>
        <w:pStyle w:val="Opsomming1"/>
        <w:rPr>
          <w:lang w:val="en-US"/>
        </w:rPr>
      </w:pPr>
      <w:r w:rsidRPr="0099325D">
        <w:rPr>
          <w:lang w:val="en-US"/>
        </w:rPr>
        <w:t>General Mills:</w:t>
      </w:r>
    </w:p>
    <w:p w:rsidR="0099325D" w:rsidRPr="009A46A4" w:rsidRDefault="0099325D" w:rsidP="009A061A">
      <w:pPr>
        <w:pStyle w:val="Opsomming3"/>
        <w:rPr>
          <w:lang w:val="en-US"/>
        </w:rPr>
      </w:pPr>
      <w:r>
        <w:rPr>
          <w:lang w:val="en-US"/>
        </w:rPr>
        <w:t xml:space="preserve">In March 2012 Rabobank </w:t>
      </w:r>
      <w:r w:rsidRPr="009A46A4">
        <w:rPr>
          <w:lang w:val="en-US"/>
        </w:rPr>
        <w:t xml:space="preserve">participated in a syndicated revolving credit facility for </w:t>
      </w:r>
      <w:r>
        <w:rPr>
          <w:lang w:val="en-US"/>
        </w:rPr>
        <w:t>General Mills</w:t>
      </w:r>
      <w:r w:rsidRPr="009A46A4">
        <w:rPr>
          <w:lang w:val="en-US"/>
        </w:rPr>
        <w:t>. The total</w:t>
      </w:r>
      <w:r>
        <w:rPr>
          <w:lang w:val="en-US"/>
        </w:rPr>
        <w:t xml:space="preserve"> value of the facility was US$ 2</w:t>
      </w:r>
      <w:r w:rsidRPr="009A46A4">
        <w:rPr>
          <w:lang w:val="en-US"/>
        </w:rPr>
        <w:t>,</w:t>
      </w:r>
      <w:r>
        <w:rPr>
          <w:lang w:val="en-US"/>
        </w:rPr>
        <w:t>700</w:t>
      </w:r>
      <w:r w:rsidRPr="009A46A4">
        <w:rPr>
          <w:lang w:val="en-US"/>
        </w:rPr>
        <w:t xml:space="preserve"> million (€ </w:t>
      </w:r>
      <w:r>
        <w:rPr>
          <w:lang w:val="en-US"/>
        </w:rPr>
        <w:t>2,065</w:t>
      </w:r>
      <w:r w:rsidRPr="009A46A4">
        <w:rPr>
          <w:lang w:val="en-US"/>
        </w:rPr>
        <w:t xml:space="preserve"> million</w:t>
      </w:r>
      <w:r>
        <w:rPr>
          <w:lang w:val="en-US"/>
        </w:rPr>
        <w:t>), consisting of a five-year US$ 1,700 facility and a three-year US$ 1,000 million facility. The banking syndicate consisted of 11</w:t>
      </w:r>
      <w:r w:rsidRPr="009A46A4">
        <w:rPr>
          <w:lang w:val="en-US"/>
        </w:rPr>
        <w:t xml:space="preserve"> banks</w:t>
      </w:r>
      <w:r>
        <w:rPr>
          <w:lang w:val="en-US"/>
        </w:rPr>
        <w:t xml:space="preserve"> and was led by five banks</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 xml:space="preserve">Rabobank‘s share is estimated at </w:t>
      </w:r>
      <w:r w:rsidRPr="009A46A4">
        <w:rPr>
          <w:lang w:val="en-US"/>
        </w:rPr>
        <w:t xml:space="preserve">US$ </w:t>
      </w:r>
      <w:r>
        <w:rPr>
          <w:lang w:val="en-US"/>
        </w:rPr>
        <w:t>113</w:t>
      </w:r>
      <w:r w:rsidRPr="009A46A4">
        <w:rPr>
          <w:lang w:val="en-US"/>
        </w:rPr>
        <w:t xml:space="preserve"> million (€ </w:t>
      </w:r>
      <w:r>
        <w:rPr>
          <w:lang w:val="en-US"/>
        </w:rPr>
        <w:t>86</w:t>
      </w:r>
      <w:r w:rsidRPr="009A46A4">
        <w:rPr>
          <w:lang w:val="en-US"/>
        </w:rPr>
        <w:t xml:space="preserve"> million).</w:t>
      </w:r>
      <w:r w:rsidRPr="00031898">
        <w:rPr>
          <w:rStyle w:val="EndnoteReference"/>
        </w:rPr>
        <w:endnoteReference w:id="50"/>
      </w:r>
    </w:p>
    <w:p w:rsidR="0099325D" w:rsidRDefault="0099325D" w:rsidP="00887051">
      <w:pPr>
        <w:rPr>
          <w:lang w:val="en-US"/>
        </w:rPr>
      </w:pPr>
    </w:p>
    <w:p w:rsidR="008B470A" w:rsidRPr="009A46A4" w:rsidRDefault="008B470A" w:rsidP="009A061A">
      <w:pPr>
        <w:pStyle w:val="Opsomming1"/>
        <w:rPr>
          <w:lang w:val="en-US"/>
        </w:rPr>
      </w:pPr>
      <w:r>
        <w:rPr>
          <w:lang w:val="en-US"/>
        </w:rPr>
        <w:t>Kellogg</w:t>
      </w:r>
      <w:r w:rsidRPr="009A46A4">
        <w:rPr>
          <w:lang w:val="en-US"/>
        </w:rPr>
        <w:t>:</w:t>
      </w:r>
    </w:p>
    <w:p w:rsidR="008B470A" w:rsidRDefault="008B470A" w:rsidP="009A061A">
      <w:pPr>
        <w:pStyle w:val="Opsomming3"/>
        <w:rPr>
          <w:lang w:val="en-US"/>
        </w:rPr>
      </w:pPr>
      <w:r>
        <w:rPr>
          <w:lang w:val="en-US"/>
        </w:rPr>
        <w:t xml:space="preserve">In February 2011 Rabobank </w:t>
      </w:r>
      <w:r w:rsidRPr="009A46A4">
        <w:rPr>
          <w:lang w:val="en-US"/>
        </w:rPr>
        <w:t xml:space="preserve">participated in a syndicated revolving credit facility for </w:t>
      </w:r>
      <w:r>
        <w:rPr>
          <w:lang w:val="en-US"/>
        </w:rPr>
        <w:t>Kellogg</w:t>
      </w:r>
      <w:r w:rsidRPr="009A46A4">
        <w:rPr>
          <w:lang w:val="en-US"/>
        </w:rPr>
        <w:t>. The total</w:t>
      </w:r>
      <w:r>
        <w:rPr>
          <w:lang w:val="en-US"/>
        </w:rPr>
        <w:t xml:space="preserve"> value of the facility was US$ 2</w:t>
      </w:r>
      <w:r w:rsidRPr="009A46A4">
        <w:rPr>
          <w:lang w:val="en-US"/>
        </w:rPr>
        <w:t>,</w:t>
      </w:r>
      <w:r>
        <w:rPr>
          <w:lang w:val="en-US"/>
        </w:rPr>
        <w:t>000</w:t>
      </w:r>
      <w:r w:rsidRPr="009A46A4">
        <w:rPr>
          <w:lang w:val="en-US"/>
        </w:rPr>
        <w:t xml:space="preserve"> million (€ </w:t>
      </w:r>
      <w:r>
        <w:rPr>
          <w:lang w:val="en-US"/>
        </w:rPr>
        <w:t>1,472</w:t>
      </w:r>
      <w:r w:rsidRPr="009A46A4">
        <w:rPr>
          <w:lang w:val="en-US"/>
        </w:rPr>
        <w:t xml:space="preserve"> million</w:t>
      </w:r>
      <w:r>
        <w:rPr>
          <w:lang w:val="en-US"/>
        </w:rPr>
        <w:t>). The banking syndicate consisted of 32</w:t>
      </w:r>
      <w:r w:rsidRPr="009A46A4">
        <w:rPr>
          <w:lang w:val="en-US"/>
        </w:rPr>
        <w:t xml:space="preserve"> banks</w:t>
      </w:r>
      <w:r>
        <w:rPr>
          <w:lang w:val="en-US"/>
        </w:rPr>
        <w:t xml:space="preserve"> and was led by five banks including Rabobank</w:t>
      </w:r>
      <w:r w:rsidRPr="009A46A4">
        <w:rPr>
          <w:lang w:val="en-US"/>
        </w:rPr>
        <w:t xml:space="preserve">. The maturity date is in </w:t>
      </w:r>
      <w:r>
        <w:rPr>
          <w:lang w:val="en-US"/>
        </w:rPr>
        <w:t>March</w:t>
      </w:r>
      <w:r w:rsidRPr="009A46A4">
        <w:rPr>
          <w:lang w:val="en-US"/>
        </w:rPr>
        <w:t xml:space="preserve"> 201</w:t>
      </w:r>
      <w:r>
        <w:rPr>
          <w:lang w:val="en-US"/>
        </w:rPr>
        <w:t>5</w:t>
      </w:r>
      <w:r w:rsidRPr="009A46A4">
        <w:rPr>
          <w:lang w:val="en-US"/>
        </w:rPr>
        <w:t xml:space="preserve">. The facility was initiated </w:t>
      </w:r>
      <w:r>
        <w:rPr>
          <w:lang w:val="en-US"/>
        </w:rPr>
        <w:t>for general corporate purposes and as a backup facility</w:t>
      </w:r>
      <w:r w:rsidRPr="009A46A4">
        <w:rPr>
          <w:lang w:val="en-US"/>
        </w:rPr>
        <w:t xml:space="preserve">. </w:t>
      </w:r>
      <w:r>
        <w:rPr>
          <w:lang w:val="en-US"/>
        </w:rPr>
        <w:t xml:space="preserve">Rabobank committed an amount of </w:t>
      </w:r>
      <w:r w:rsidRPr="009A46A4">
        <w:rPr>
          <w:lang w:val="en-US"/>
        </w:rPr>
        <w:t xml:space="preserve">US$ </w:t>
      </w:r>
      <w:r>
        <w:rPr>
          <w:lang w:val="en-US"/>
        </w:rPr>
        <w:t>170</w:t>
      </w:r>
      <w:r w:rsidRPr="009A46A4">
        <w:rPr>
          <w:lang w:val="en-US"/>
        </w:rPr>
        <w:t xml:space="preserve"> million (€ </w:t>
      </w:r>
      <w:r>
        <w:rPr>
          <w:lang w:val="en-US"/>
        </w:rPr>
        <w:t>125</w:t>
      </w:r>
      <w:r w:rsidRPr="009A46A4">
        <w:rPr>
          <w:lang w:val="en-US"/>
        </w:rPr>
        <w:t xml:space="preserve"> million).</w:t>
      </w:r>
      <w:r w:rsidRPr="00031898">
        <w:rPr>
          <w:rStyle w:val="EndnoteReference"/>
        </w:rPr>
        <w:endnoteReference w:id="51"/>
      </w:r>
    </w:p>
    <w:p w:rsidR="00B06FF3" w:rsidRDefault="00B06FF3" w:rsidP="009A061A">
      <w:pPr>
        <w:pStyle w:val="Opsomming3"/>
        <w:numPr>
          <w:ilvl w:val="0"/>
          <w:numId w:val="0"/>
        </w:numPr>
        <w:ind w:left="567"/>
        <w:rPr>
          <w:lang w:val="en-US"/>
        </w:rPr>
      </w:pPr>
    </w:p>
    <w:p w:rsidR="00B06FF3" w:rsidRDefault="00B06FF3" w:rsidP="009A061A">
      <w:pPr>
        <w:pStyle w:val="Opsomming3"/>
        <w:rPr>
          <w:lang w:val="en-US"/>
        </w:rPr>
      </w:pPr>
      <w:r>
        <w:rPr>
          <w:lang w:val="en-US"/>
        </w:rPr>
        <w:t xml:space="preserve">In January 2012 Rabobank </w:t>
      </w:r>
      <w:r w:rsidRPr="009A46A4">
        <w:rPr>
          <w:lang w:val="en-US"/>
        </w:rPr>
        <w:t xml:space="preserve">participated in a syndicated revolving credit facility for </w:t>
      </w:r>
      <w:r>
        <w:rPr>
          <w:lang w:val="en-US"/>
        </w:rPr>
        <w:t>Kellogg</w:t>
      </w:r>
      <w:r w:rsidRPr="009A46A4">
        <w:rPr>
          <w:lang w:val="en-US"/>
        </w:rPr>
        <w:t>. The total</w:t>
      </w:r>
      <w:r>
        <w:rPr>
          <w:lang w:val="en-US"/>
        </w:rPr>
        <w:t xml:space="preserve"> value of the facility was US$ 2</w:t>
      </w:r>
      <w:r w:rsidRPr="009A46A4">
        <w:rPr>
          <w:lang w:val="en-US"/>
        </w:rPr>
        <w:t>,</w:t>
      </w:r>
      <w:r>
        <w:rPr>
          <w:lang w:val="en-US"/>
        </w:rPr>
        <w:t>000</w:t>
      </w:r>
      <w:r w:rsidRPr="009A46A4">
        <w:rPr>
          <w:lang w:val="en-US"/>
        </w:rPr>
        <w:t xml:space="preserve"> million (€ </w:t>
      </w:r>
      <w:r>
        <w:rPr>
          <w:lang w:val="en-US"/>
        </w:rPr>
        <w:t>1,565</w:t>
      </w:r>
      <w:r w:rsidRPr="009A46A4">
        <w:rPr>
          <w:lang w:val="en-US"/>
        </w:rPr>
        <w:t xml:space="preserve"> million</w:t>
      </w:r>
      <w:r>
        <w:rPr>
          <w:lang w:val="en-US"/>
        </w:rPr>
        <w:t>). The banking syndicate consisted of six</w:t>
      </w:r>
      <w:r w:rsidRPr="009A46A4">
        <w:rPr>
          <w:lang w:val="en-US"/>
        </w:rPr>
        <w:t xml:space="preserve"> banks</w:t>
      </w:r>
      <w:r>
        <w:rPr>
          <w:lang w:val="en-US"/>
        </w:rPr>
        <w:t xml:space="preserve"> and was led by four banks including Rabobank</w:t>
      </w:r>
      <w:r w:rsidRPr="009A46A4">
        <w:rPr>
          <w:lang w:val="en-US"/>
        </w:rPr>
        <w:t xml:space="preserve">. The maturity date is in </w:t>
      </w:r>
      <w:r>
        <w:rPr>
          <w:lang w:val="en-US"/>
        </w:rPr>
        <w:t>March</w:t>
      </w:r>
      <w:r w:rsidRPr="009A46A4">
        <w:rPr>
          <w:lang w:val="en-US"/>
        </w:rPr>
        <w:t xml:space="preserve"> 201</w:t>
      </w:r>
      <w:r>
        <w:rPr>
          <w:lang w:val="en-US"/>
        </w:rPr>
        <w:t>5</w:t>
      </w:r>
      <w:r w:rsidRPr="009A46A4">
        <w:rPr>
          <w:lang w:val="en-US"/>
        </w:rPr>
        <w:t xml:space="preserve">. The facility was initiated </w:t>
      </w:r>
      <w:r>
        <w:rPr>
          <w:lang w:val="en-US"/>
        </w:rPr>
        <w:t>as an amendment of the previous credit facility to decrease pricing</w:t>
      </w:r>
      <w:r w:rsidRPr="009A46A4">
        <w:rPr>
          <w:lang w:val="en-US"/>
        </w:rPr>
        <w:t xml:space="preserve">. </w:t>
      </w:r>
      <w:r>
        <w:rPr>
          <w:lang w:val="en-US"/>
        </w:rPr>
        <w:t xml:space="preserve">Rabobank’s share is estimated at </w:t>
      </w:r>
      <w:r w:rsidRPr="009A46A4">
        <w:rPr>
          <w:lang w:val="en-US"/>
        </w:rPr>
        <w:t xml:space="preserve">US$ </w:t>
      </w:r>
      <w:r>
        <w:rPr>
          <w:lang w:val="en-US"/>
        </w:rPr>
        <w:t>375</w:t>
      </w:r>
      <w:r w:rsidRPr="009A46A4">
        <w:rPr>
          <w:lang w:val="en-US"/>
        </w:rPr>
        <w:t xml:space="preserve"> million (€ </w:t>
      </w:r>
      <w:r>
        <w:rPr>
          <w:lang w:val="en-US"/>
        </w:rPr>
        <w:t>293</w:t>
      </w:r>
      <w:r w:rsidRPr="009A46A4">
        <w:rPr>
          <w:lang w:val="en-US"/>
        </w:rPr>
        <w:t xml:space="preserve"> million).</w:t>
      </w:r>
      <w:r w:rsidRPr="00031898">
        <w:rPr>
          <w:rStyle w:val="EndnoteReference"/>
        </w:rPr>
        <w:endnoteReference w:id="52"/>
      </w:r>
    </w:p>
    <w:p w:rsidR="00B06FF3" w:rsidRPr="00B06FF3" w:rsidRDefault="00B06FF3" w:rsidP="00B06FF3">
      <w:pPr>
        <w:pStyle w:val="ListParagraph"/>
        <w:rPr>
          <w:lang w:val="en-US"/>
        </w:rPr>
      </w:pPr>
    </w:p>
    <w:p w:rsidR="00B06FF3" w:rsidRPr="009A46A4" w:rsidRDefault="00B06FF3" w:rsidP="009A061A">
      <w:pPr>
        <w:pStyle w:val="Opsomming3"/>
        <w:rPr>
          <w:lang w:val="en-US"/>
        </w:rPr>
      </w:pPr>
      <w:r>
        <w:rPr>
          <w:lang w:val="en-US"/>
        </w:rPr>
        <w:t xml:space="preserve">In February 2012 Rabobank </w:t>
      </w:r>
      <w:r w:rsidRPr="009A46A4">
        <w:rPr>
          <w:lang w:val="en-US"/>
        </w:rPr>
        <w:t xml:space="preserve">participated in a </w:t>
      </w:r>
      <w:r>
        <w:rPr>
          <w:lang w:val="en-US"/>
        </w:rPr>
        <w:t>bridge loan</w:t>
      </w:r>
      <w:r w:rsidRPr="009A46A4">
        <w:rPr>
          <w:lang w:val="en-US"/>
        </w:rPr>
        <w:t xml:space="preserve"> for </w:t>
      </w:r>
      <w:r>
        <w:rPr>
          <w:lang w:val="en-US"/>
        </w:rPr>
        <w:t>Kellogg</w:t>
      </w:r>
      <w:r w:rsidRPr="009A46A4">
        <w:rPr>
          <w:lang w:val="en-US"/>
        </w:rPr>
        <w:t>. The total</w:t>
      </w:r>
      <w:r>
        <w:rPr>
          <w:lang w:val="en-US"/>
        </w:rPr>
        <w:t xml:space="preserve"> value of the loan was US$ 1</w:t>
      </w:r>
      <w:r w:rsidRPr="009A46A4">
        <w:rPr>
          <w:lang w:val="en-US"/>
        </w:rPr>
        <w:t>,</w:t>
      </w:r>
      <w:r>
        <w:rPr>
          <w:lang w:val="en-US"/>
        </w:rPr>
        <w:t>000</w:t>
      </w:r>
      <w:r w:rsidRPr="009A46A4">
        <w:rPr>
          <w:lang w:val="en-US"/>
        </w:rPr>
        <w:t xml:space="preserve"> million (€ </w:t>
      </w:r>
      <w:r>
        <w:rPr>
          <w:lang w:val="en-US"/>
        </w:rPr>
        <w:t>764</w:t>
      </w:r>
      <w:r w:rsidRPr="009A46A4">
        <w:rPr>
          <w:lang w:val="en-US"/>
        </w:rPr>
        <w:t xml:space="preserve"> million</w:t>
      </w:r>
      <w:r>
        <w:rPr>
          <w:lang w:val="en-US"/>
        </w:rPr>
        <w:t>). The banking syndicate consisted of four</w:t>
      </w:r>
      <w:r w:rsidRPr="009A46A4">
        <w:rPr>
          <w:lang w:val="en-US"/>
        </w:rPr>
        <w:t xml:space="preserve"> banks</w:t>
      </w:r>
      <w:r>
        <w:rPr>
          <w:lang w:val="en-US"/>
        </w:rPr>
        <w:t>. The maturity date wa</w:t>
      </w:r>
      <w:r w:rsidRPr="009A46A4">
        <w:rPr>
          <w:lang w:val="en-US"/>
        </w:rPr>
        <w:t xml:space="preserve">s in </w:t>
      </w:r>
      <w:r>
        <w:rPr>
          <w:lang w:val="en-US"/>
        </w:rPr>
        <w:t>March</w:t>
      </w:r>
      <w:r w:rsidRPr="009A46A4">
        <w:rPr>
          <w:lang w:val="en-US"/>
        </w:rPr>
        <w:t xml:space="preserve"> 201</w:t>
      </w:r>
      <w:r>
        <w:rPr>
          <w:lang w:val="en-US"/>
        </w:rPr>
        <w:t>3</w:t>
      </w:r>
      <w:r w:rsidRPr="009A46A4">
        <w:rPr>
          <w:lang w:val="en-US"/>
        </w:rPr>
        <w:t xml:space="preserve">. The facility was initiated </w:t>
      </w:r>
      <w:r>
        <w:rPr>
          <w:lang w:val="en-US"/>
        </w:rPr>
        <w:t>to back Kellogg’s acquisition of Pringles</w:t>
      </w:r>
      <w:r w:rsidRPr="009A46A4">
        <w:rPr>
          <w:lang w:val="en-US"/>
        </w:rPr>
        <w:t xml:space="preserve">. </w:t>
      </w:r>
      <w:r>
        <w:rPr>
          <w:lang w:val="en-US"/>
        </w:rPr>
        <w:t xml:space="preserve">Rabobank’s share is estimated at </w:t>
      </w:r>
      <w:r w:rsidRPr="009A46A4">
        <w:rPr>
          <w:lang w:val="en-US"/>
        </w:rPr>
        <w:t xml:space="preserve">US$ </w:t>
      </w:r>
      <w:r>
        <w:rPr>
          <w:lang w:val="en-US"/>
        </w:rPr>
        <w:t>250</w:t>
      </w:r>
      <w:r w:rsidRPr="009A46A4">
        <w:rPr>
          <w:lang w:val="en-US"/>
        </w:rPr>
        <w:t xml:space="preserve"> million (€ </w:t>
      </w:r>
      <w:r>
        <w:rPr>
          <w:lang w:val="en-US"/>
        </w:rPr>
        <w:t>191</w:t>
      </w:r>
      <w:r w:rsidRPr="009A46A4">
        <w:rPr>
          <w:lang w:val="en-US"/>
        </w:rPr>
        <w:t xml:space="preserve"> million).</w:t>
      </w:r>
      <w:r w:rsidRPr="00031898">
        <w:rPr>
          <w:rStyle w:val="EndnoteReference"/>
        </w:rPr>
        <w:endnoteReference w:id="53"/>
      </w:r>
    </w:p>
    <w:p w:rsidR="008B470A" w:rsidRDefault="008B470A" w:rsidP="00887051">
      <w:pPr>
        <w:rPr>
          <w:lang w:val="en-US"/>
        </w:rPr>
      </w:pPr>
    </w:p>
    <w:p w:rsidR="00FE4BDE" w:rsidRPr="009A46A4" w:rsidRDefault="00FE4BDE" w:rsidP="00687325">
      <w:pPr>
        <w:pStyle w:val="Opsomming1"/>
        <w:keepNext/>
        <w:rPr>
          <w:lang w:val="en-US"/>
        </w:rPr>
      </w:pPr>
      <w:r>
        <w:rPr>
          <w:lang w:val="en-US"/>
        </w:rPr>
        <w:lastRenderedPageBreak/>
        <w:t>Mars</w:t>
      </w:r>
      <w:r w:rsidRPr="009A46A4">
        <w:rPr>
          <w:lang w:val="en-US"/>
        </w:rPr>
        <w:t>:</w:t>
      </w:r>
    </w:p>
    <w:p w:rsidR="00FE4BDE" w:rsidRDefault="00FE4BDE" w:rsidP="00687325">
      <w:pPr>
        <w:pStyle w:val="Opsomming3"/>
        <w:keepNext/>
        <w:rPr>
          <w:lang w:val="en-US"/>
        </w:rPr>
      </w:pPr>
      <w:r>
        <w:rPr>
          <w:lang w:val="en-US"/>
        </w:rPr>
        <w:t xml:space="preserve">In March 2011 Rabobank </w:t>
      </w:r>
      <w:r w:rsidRPr="009A46A4">
        <w:rPr>
          <w:lang w:val="en-US"/>
        </w:rPr>
        <w:t xml:space="preserve">participated in a syndicated revolving credit facility for </w:t>
      </w:r>
      <w:r>
        <w:rPr>
          <w:lang w:val="en-US"/>
        </w:rPr>
        <w:t>Mars</w:t>
      </w:r>
      <w:r w:rsidRPr="009A46A4">
        <w:rPr>
          <w:lang w:val="en-US"/>
        </w:rPr>
        <w:t xml:space="preserve">. The total value of the facility was US$ </w:t>
      </w:r>
      <w:r>
        <w:rPr>
          <w:lang w:val="en-US"/>
        </w:rPr>
        <w:t>2,000</w:t>
      </w:r>
      <w:r w:rsidRPr="009A46A4">
        <w:rPr>
          <w:lang w:val="en-US"/>
        </w:rPr>
        <w:t xml:space="preserve"> million (€ </w:t>
      </w:r>
      <w:r>
        <w:rPr>
          <w:lang w:val="en-US"/>
        </w:rPr>
        <w:t xml:space="preserve">1,430 </w:t>
      </w:r>
      <w:r w:rsidRPr="009A46A4">
        <w:rPr>
          <w:lang w:val="en-US"/>
        </w:rPr>
        <w:t xml:space="preserve">million). </w:t>
      </w:r>
      <w:r>
        <w:rPr>
          <w:lang w:val="en-US"/>
        </w:rPr>
        <w:t>The banking syndicate consisted of 14</w:t>
      </w:r>
      <w:r w:rsidRPr="009A46A4">
        <w:rPr>
          <w:lang w:val="en-US"/>
        </w:rPr>
        <w:t xml:space="preserve"> banks</w:t>
      </w:r>
      <w:r>
        <w:rPr>
          <w:lang w:val="en-US"/>
        </w:rPr>
        <w:t xml:space="preserve"> and was led by four banks</w:t>
      </w:r>
      <w:r w:rsidRPr="009A46A4">
        <w:rPr>
          <w:lang w:val="en-US"/>
        </w:rPr>
        <w:t xml:space="preserve">. The maturity date </w:t>
      </w:r>
      <w:r>
        <w:rPr>
          <w:lang w:val="en-US"/>
        </w:rPr>
        <w:t>is</w:t>
      </w:r>
      <w:r w:rsidRPr="009A46A4">
        <w:rPr>
          <w:lang w:val="en-US"/>
        </w:rPr>
        <w:t xml:space="preserve"> in </w:t>
      </w:r>
      <w:r>
        <w:rPr>
          <w:lang w:val="en-US"/>
        </w:rPr>
        <w:t>March</w:t>
      </w:r>
      <w:r w:rsidRPr="009A46A4">
        <w:rPr>
          <w:lang w:val="en-US"/>
        </w:rPr>
        <w:t xml:space="preserve"> 201</w:t>
      </w:r>
      <w:r>
        <w:rPr>
          <w:lang w:val="en-US"/>
        </w:rPr>
        <w:t>6</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Rabobank’s share is estimated at U</w:t>
      </w:r>
      <w:r w:rsidRPr="009A46A4">
        <w:rPr>
          <w:lang w:val="en-US"/>
        </w:rPr>
        <w:t xml:space="preserve">S$ </w:t>
      </w:r>
      <w:r>
        <w:rPr>
          <w:lang w:val="en-US"/>
        </w:rPr>
        <w:t>50</w:t>
      </w:r>
      <w:r w:rsidRPr="009A46A4">
        <w:rPr>
          <w:lang w:val="en-US"/>
        </w:rPr>
        <w:t xml:space="preserve"> million (€ </w:t>
      </w:r>
      <w:r>
        <w:rPr>
          <w:lang w:val="en-US"/>
        </w:rPr>
        <w:t>36</w:t>
      </w:r>
      <w:r w:rsidRPr="009A46A4">
        <w:rPr>
          <w:lang w:val="en-US"/>
        </w:rPr>
        <w:t xml:space="preserve"> million).</w:t>
      </w:r>
      <w:r w:rsidRPr="00031898">
        <w:rPr>
          <w:rStyle w:val="EndnoteReference"/>
        </w:rPr>
        <w:endnoteReference w:id="54"/>
      </w:r>
    </w:p>
    <w:p w:rsidR="00FE4BDE" w:rsidRDefault="00FE4BDE" w:rsidP="00887051">
      <w:pPr>
        <w:rPr>
          <w:lang w:val="en-US"/>
        </w:rPr>
      </w:pPr>
    </w:p>
    <w:p w:rsidR="006A5F0C" w:rsidRPr="009A46A4" w:rsidRDefault="006A5F0C" w:rsidP="009A061A">
      <w:pPr>
        <w:pStyle w:val="Opsomming1"/>
        <w:rPr>
          <w:lang w:val="en-US"/>
        </w:rPr>
      </w:pPr>
      <w:r>
        <w:rPr>
          <w:lang w:val="en-US"/>
        </w:rPr>
        <w:t>Archer Daniels Midland</w:t>
      </w:r>
      <w:r w:rsidRPr="009A46A4">
        <w:rPr>
          <w:lang w:val="en-US"/>
        </w:rPr>
        <w:t>:</w:t>
      </w:r>
    </w:p>
    <w:p w:rsidR="006A5F0C" w:rsidRDefault="006A5F0C" w:rsidP="009A061A">
      <w:pPr>
        <w:pStyle w:val="Opsomming3"/>
        <w:rPr>
          <w:lang w:val="en-US"/>
        </w:rPr>
      </w:pPr>
      <w:r>
        <w:rPr>
          <w:lang w:val="en-US"/>
        </w:rPr>
        <w:t xml:space="preserve">In October 2010 Rabobank </w:t>
      </w:r>
      <w:r w:rsidRPr="009A46A4">
        <w:rPr>
          <w:lang w:val="en-US"/>
        </w:rPr>
        <w:t xml:space="preserve">participated in a syndicated revolving credit facility for </w:t>
      </w:r>
      <w:r w:rsidRPr="00286738">
        <w:rPr>
          <w:lang w:val="en-US"/>
        </w:rPr>
        <w:t>Archer Daniels Midland</w:t>
      </w:r>
      <w:r w:rsidRPr="009A46A4">
        <w:rPr>
          <w:lang w:val="en-US"/>
        </w:rPr>
        <w:t xml:space="preserve">. The total value of the facility was US$ </w:t>
      </w:r>
      <w:r>
        <w:rPr>
          <w:lang w:val="en-US"/>
        </w:rPr>
        <w:t>2,000</w:t>
      </w:r>
      <w:r w:rsidRPr="009A46A4">
        <w:rPr>
          <w:lang w:val="en-US"/>
        </w:rPr>
        <w:t xml:space="preserve"> million (€ </w:t>
      </w:r>
      <w:r>
        <w:rPr>
          <w:lang w:val="en-US"/>
        </w:rPr>
        <w:t>1,436</w:t>
      </w:r>
      <w:r w:rsidRPr="009A46A4">
        <w:rPr>
          <w:lang w:val="en-US"/>
        </w:rPr>
        <w:t xml:space="preserve"> million). </w:t>
      </w:r>
      <w:r>
        <w:rPr>
          <w:lang w:val="en-US"/>
        </w:rPr>
        <w:t>The banking syndicate consisted of 25</w:t>
      </w:r>
      <w:r w:rsidRPr="009A46A4">
        <w:rPr>
          <w:lang w:val="en-US"/>
        </w:rPr>
        <w:t xml:space="preserve"> banks. The maturity date </w:t>
      </w:r>
      <w:r>
        <w:rPr>
          <w:lang w:val="en-US"/>
        </w:rPr>
        <w:t>was</w:t>
      </w:r>
      <w:r w:rsidRPr="009A46A4">
        <w:rPr>
          <w:lang w:val="en-US"/>
        </w:rPr>
        <w:t xml:space="preserve"> in </w:t>
      </w:r>
      <w:r>
        <w:rPr>
          <w:lang w:val="en-US"/>
        </w:rPr>
        <w:t>October</w:t>
      </w:r>
      <w:r w:rsidRPr="009A46A4">
        <w:rPr>
          <w:lang w:val="en-US"/>
        </w:rPr>
        <w:t xml:space="preserve"> 201</w:t>
      </w:r>
      <w:r>
        <w:rPr>
          <w:lang w:val="en-US"/>
        </w:rPr>
        <w:t>1</w:t>
      </w:r>
      <w:r w:rsidRPr="009A46A4">
        <w:rPr>
          <w:lang w:val="en-US"/>
        </w:rPr>
        <w:t xml:space="preserve">. The facility was initiated </w:t>
      </w:r>
      <w:r w:rsidR="000446BF">
        <w:rPr>
          <w:lang w:val="en-US"/>
        </w:rPr>
        <w:t>for general corporate purposes</w:t>
      </w:r>
      <w:r w:rsidRPr="009A46A4">
        <w:rPr>
          <w:lang w:val="en-US"/>
        </w:rPr>
        <w:t xml:space="preserve">. </w:t>
      </w:r>
      <w:r>
        <w:rPr>
          <w:lang w:val="en-US"/>
        </w:rPr>
        <w:t>Rabobank’s share is estimated at U</w:t>
      </w:r>
      <w:r w:rsidRPr="009A46A4">
        <w:rPr>
          <w:lang w:val="en-US"/>
        </w:rPr>
        <w:t xml:space="preserve">S$ </w:t>
      </w:r>
      <w:r>
        <w:rPr>
          <w:lang w:val="en-US"/>
        </w:rPr>
        <w:t>80</w:t>
      </w:r>
      <w:r w:rsidRPr="009A46A4">
        <w:rPr>
          <w:lang w:val="en-US"/>
        </w:rPr>
        <w:t xml:space="preserve"> million (€ </w:t>
      </w:r>
      <w:r>
        <w:rPr>
          <w:lang w:val="en-US"/>
        </w:rPr>
        <w:t>57</w:t>
      </w:r>
      <w:r w:rsidRPr="009A46A4">
        <w:rPr>
          <w:lang w:val="en-US"/>
        </w:rPr>
        <w:t xml:space="preserve"> million).</w:t>
      </w:r>
      <w:r w:rsidRPr="00031898">
        <w:rPr>
          <w:rStyle w:val="EndnoteReference"/>
        </w:rPr>
        <w:endnoteReference w:id="55"/>
      </w:r>
    </w:p>
    <w:p w:rsidR="006A5F0C" w:rsidRDefault="006A5F0C" w:rsidP="00887051">
      <w:pPr>
        <w:rPr>
          <w:lang w:val="en-US"/>
        </w:rPr>
      </w:pPr>
    </w:p>
    <w:p w:rsidR="00887051" w:rsidRPr="009A46A4" w:rsidRDefault="00887051" w:rsidP="009A061A">
      <w:pPr>
        <w:pStyle w:val="Opsomming1"/>
        <w:rPr>
          <w:lang w:val="en-US"/>
        </w:rPr>
      </w:pPr>
      <w:r w:rsidRPr="009A46A4">
        <w:rPr>
          <w:lang w:val="en-US"/>
        </w:rPr>
        <w:t>Bunge:</w:t>
      </w:r>
    </w:p>
    <w:p w:rsidR="00887051" w:rsidRPr="009A46A4" w:rsidRDefault="00887051" w:rsidP="009A061A">
      <w:pPr>
        <w:pStyle w:val="Opsomming3"/>
        <w:rPr>
          <w:lang w:val="en-US"/>
        </w:rPr>
      </w:pPr>
      <w:r w:rsidRPr="009A061A">
        <w:rPr>
          <w:rStyle w:val="Opsomming3CharChar"/>
        </w:rPr>
        <w:t>In March 2011 Rabobank participated in a syndicated revolving credit facility for</w:t>
      </w:r>
      <w:r w:rsidRPr="009A46A4">
        <w:rPr>
          <w:lang w:val="en-US"/>
        </w:rPr>
        <w:t xml:space="preserve"> </w:t>
      </w:r>
      <w:r>
        <w:rPr>
          <w:lang w:val="en-US"/>
        </w:rPr>
        <w:t>Bunge</w:t>
      </w:r>
      <w:r w:rsidRPr="009A46A4">
        <w:rPr>
          <w:lang w:val="en-US"/>
        </w:rPr>
        <w:t>. The total value of the facility was US$ 1,</w:t>
      </w:r>
      <w:r>
        <w:rPr>
          <w:lang w:val="en-US"/>
        </w:rPr>
        <w:t>75</w:t>
      </w:r>
      <w:r w:rsidRPr="009A46A4">
        <w:rPr>
          <w:lang w:val="en-US"/>
        </w:rPr>
        <w:t xml:space="preserve">0 million (€ </w:t>
      </w:r>
      <w:r>
        <w:rPr>
          <w:lang w:val="en-US"/>
        </w:rPr>
        <w:t>1,232</w:t>
      </w:r>
      <w:r w:rsidRPr="009A46A4">
        <w:rPr>
          <w:lang w:val="en-US"/>
        </w:rPr>
        <w:t xml:space="preserve"> million</w:t>
      </w:r>
      <w:r w:rsidR="006C235F">
        <w:rPr>
          <w:lang w:val="en-US"/>
        </w:rPr>
        <w:t>).</w:t>
      </w:r>
      <w:r w:rsidR="006C235F" w:rsidRPr="006C235F">
        <w:rPr>
          <w:lang w:val="en-US"/>
        </w:rPr>
        <w:t xml:space="preserve"> </w:t>
      </w:r>
      <w:r w:rsidR="006C235F">
        <w:rPr>
          <w:lang w:val="en-US"/>
        </w:rPr>
        <w:t>Rabobank was one of the 11 lead arrangers for the credit facility. The total banking syndicate consisted of 37</w:t>
      </w:r>
      <w:r w:rsidR="006C235F" w:rsidRPr="009A46A4">
        <w:rPr>
          <w:lang w:val="en-US"/>
        </w:rPr>
        <w:t xml:space="preserve"> banks.</w:t>
      </w:r>
      <w:r w:rsidRPr="009A46A4">
        <w:rPr>
          <w:lang w:val="en-US"/>
        </w:rPr>
        <w:t xml:space="preserve"> The maturity date is in </w:t>
      </w:r>
      <w:r>
        <w:rPr>
          <w:lang w:val="en-US"/>
        </w:rPr>
        <w:t>March</w:t>
      </w:r>
      <w:r w:rsidRPr="009A46A4">
        <w:rPr>
          <w:lang w:val="en-US"/>
        </w:rPr>
        <w:t xml:space="preserve"> 201</w:t>
      </w:r>
      <w:r>
        <w:rPr>
          <w:lang w:val="en-US"/>
        </w:rPr>
        <w:t>4</w:t>
      </w:r>
      <w:r w:rsidRPr="009A46A4">
        <w:rPr>
          <w:lang w:val="en-US"/>
        </w:rPr>
        <w:t xml:space="preserve">. The facility was initiated </w:t>
      </w:r>
      <w:r w:rsidR="000446BF">
        <w:rPr>
          <w:lang w:val="en-US"/>
        </w:rPr>
        <w:t>for general corporate purposes</w:t>
      </w:r>
      <w:r>
        <w:rPr>
          <w:lang w:val="en-US"/>
        </w:rPr>
        <w:t>, working capital and refinancing of bank debt</w:t>
      </w:r>
      <w:r w:rsidRPr="009A46A4">
        <w:rPr>
          <w:lang w:val="en-US"/>
        </w:rPr>
        <w:t xml:space="preserve">. </w:t>
      </w:r>
      <w:r w:rsidR="006C235F">
        <w:rPr>
          <w:lang w:val="en-US"/>
        </w:rPr>
        <w:t xml:space="preserve">Rabobank committed an amount of </w:t>
      </w:r>
      <w:r w:rsidR="006C235F" w:rsidRPr="009A46A4">
        <w:rPr>
          <w:lang w:val="en-US"/>
        </w:rPr>
        <w:t xml:space="preserve">US$ </w:t>
      </w:r>
      <w:r w:rsidR="006C235F">
        <w:rPr>
          <w:lang w:val="en-US"/>
        </w:rPr>
        <w:t>65</w:t>
      </w:r>
      <w:r w:rsidR="006C235F" w:rsidRPr="009A46A4">
        <w:rPr>
          <w:lang w:val="en-US"/>
        </w:rPr>
        <w:t xml:space="preserve"> million (€ </w:t>
      </w:r>
      <w:r w:rsidR="006C235F">
        <w:rPr>
          <w:lang w:val="en-US"/>
        </w:rPr>
        <w:t>46</w:t>
      </w:r>
      <w:r w:rsidR="006C235F" w:rsidRPr="009A46A4">
        <w:rPr>
          <w:lang w:val="en-US"/>
        </w:rPr>
        <w:t xml:space="preserve"> million).</w:t>
      </w:r>
      <w:r w:rsidR="006C235F" w:rsidRPr="00031898">
        <w:rPr>
          <w:rStyle w:val="EndnoteReference"/>
        </w:rPr>
        <w:endnoteReference w:id="56"/>
      </w:r>
    </w:p>
    <w:p w:rsidR="00985FAF" w:rsidRDefault="00985FAF" w:rsidP="009A061A">
      <w:pPr>
        <w:pStyle w:val="Opsomming3"/>
        <w:numPr>
          <w:ilvl w:val="0"/>
          <w:numId w:val="0"/>
        </w:numPr>
        <w:ind w:left="567"/>
        <w:rPr>
          <w:lang w:val="en-US"/>
        </w:rPr>
      </w:pPr>
    </w:p>
    <w:p w:rsidR="001D48CB" w:rsidRPr="009A46A4" w:rsidRDefault="001D48CB" w:rsidP="009A061A">
      <w:pPr>
        <w:pStyle w:val="Opsomming3"/>
        <w:rPr>
          <w:lang w:val="en-US"/>
        </w:rPr>
      </w:pPr>
      <w:r>
        <w:rPr>
          <w:lang w:val="en-US"/>
        </w:rPr>
        <w:t xml:space="preserve">In November 2011 Rabobank </w:t>
      </w:r>
      <w:r w:rsidRPr="009A46A4">
        <w:rPr>
          <w:lang w:val="en-US"/>
        </w:rPr>
        <w:t xml:space="preserve">participated in a syndicated revolving credit facility for </w:t>
      </w:r>
      <w:r>
        <w:rPr>
          <w:lang w:val="en-US"/>
        </w:rPr>
        <w:t>Bunge</w:t>
      </w:r>
      <w:r w:rsidRPr="009A46A4">
        <w:rPr>
          <w:lang w:val="en-US"/>
        </w:rPr>
        <w:t>. The total value of the facility was US$ 1,</w:t>
      </w:r>
      <w:r>
        <w:rPr>
          <w:lang w:val="en-US"/>
        </w:rPr>
        <w:t>600</w:t>
      </w:r>
      <w:r w:rsidRPr="009A46A4">
        <w:rPr>
          <w:lang w:val="en-US"/>
        </w:rPr>
        <w:t xml:space="preserve"> million (€ </w:t>
      </w:r>
      <w:r>
        <w:rPr>
          <w:lang w:val="en-US"/>
        </w:rPr>
        <w:t>1,189</w:t>
      </w:r>
      <w:r w:rsidRPr="009A46A4">
        <w:rPr>
          <w:lang w:val="en-US"/>
        </w:rPr>
        <w:t xml:space="preserve"> million).</w:t>
      </w:r>
      <w:r>
        <w:rPr>
          <w:lang w:val="en-US"/>
        </w:rPr>
        <w:t xml:space="preserve"> The facility was split into two tranches with 24 banks participating in the US$ 1,000 million tranche and 19 banks participating in the US$ 600 million tranche.</w:t>
      </w:r>
      <w:r w:rsidRPr="009A46A4">
        <w:rPr>
          <w:lang w:val="en-US"/>
        </w:rPr>
        <w:t xml:space="preserve"> The maturity date</w:t>
      </w:r>
      <w:r>
        <w:rPr>
          <w:lang w:val="en-US"/>
        </w:rPr>
        <w:t xml:space="preserve"> of both tranches</w:t>
      </w:r>
      <w:r w:rsidRPr="009A46A4">
        <w:rPr>
          <w:lang w:val="en-US"/>
        </w:rPr>
        <w:t xml:space="preserve"> is in </w:t>
      </w:r>
      <w:r>
        <w:rPr>
          <w:lang w:val="en-US"/>
        </w:rPr>
        <w:t>November</w:t>
      </w:r>
      <w:r w:rsidRPr="009A46A4">
        <w:rPr>
          <w:lang w:val="en-US"/>
        </w:rPr>
        <w:t xml:space="preserve"> 201</w:t>
      </w:r>
      <w:r>
        <w:rPr>
          <w:lang w:val="en-US"/>
        </w:rPr>
        <w:t>6</w:t>
      </w:r>
      <w:r w:rsidRPr="009A46A4">
        <w:rPr>
          <w:lang w:val="en-US"/>
        </w:rPr>
        <w:t xml:space="preserve">. The facility was initiated </w:t>
      </w:r>
      <w:r>
        <w:rPr>
          <w:lang w:val="en-US"/>
        </w:rPr>
        <w:t>for general corporate purposes and refinancing of bank debt</w:t>
      </w:r>
      <w:r w:rsidRPr="009A46A4">
        <w:rPr>
          <w:lang w:val="en-US"/>
        </w:rPr>
        <w:t>.</w:t>
      </w:r>
      <w:r w:rsidRPr="006C235F">
        <w:rPr>
          <w:lang w:val="en-US"/>
        </w:rPr>
        <w:t xml:space="preserve"> </w:t>
      </w:r>
      <w:r>
        <w:rPr>
          <w:lang w:val="en-US"/>
        </w:rPr>
        <w:t xml:space="preserve">Rabobank committed an amount of </w:t>
      </w:r>
      <w:r w:rsidRPr="009A46A4">
        <w:rPr>
          <w:lang w:val="en-US"/>
        </w:rPr>
        <w:t xml:space="preserve">US$ </w:t>
      </w:r>
      <w:r>
        <w:rPr>
          <w:lang w:val="en-US"/>
        </w:rPr>
        <w:t>70</w:t>
      </w:r>
      <w:r w:rsidRPr="009A46A4">
        <w:rPr>
          <w:lang w:val="en-US"/>
        </w:rPr>
        <w:t xml:space="preserve"> million (€ </w:t>
      </w:r>
      <w:r>
        <w:rPr>
          <w:lang w:val="en-US"/>
        </w:rPr>
        <w:t>52</w:t>
      </w:r>
      <w:r w:rsidRPr="009A46A4">
        <w:rPr>
          <w:lang w:val="en-US"/>
        </w:rPr>
        <w:t xml:space="preserve"> million).</w:t>
      </w:r>
      <w:r w:rsidRPr="00031898">
        <w:rPr>
          <w:rStyle w:val="EndnoteReference"/>
        </w:rPr>
        <w:endnoteReference w:id="57"/>
      </w:r>
    </w:p>
    <w:p w:rsidR="001D48CB" w:rsidRDefault="001D48CB" w:rsidP="00415768">
      <w:pPr>
        <w:rPr>
          <w:lang w:val="en-US"/>
        </w:rPr>
      </w:pPr>
    </w:p>
    <w:p w:rsidR="00A72C16" w:rsidRDefault="00A72C16" w:rsidP="009A061A">
      <w:pPr>
        <w:pStyle w:val="Opsomming1"/>
        <w:rPr>
          <w:lang w:val="en-US"/>
        </w:rPr>
      </w:pPr>
      <w:r>
        <w:rPr>
          <w:lang w:val="en-US"/>
        </w:rPr>
        <w:t>Cargill</w:t>
      </w:r>
      <w:r w:rsidRPr="009A46A4">
        <w:rPr>
          <w:lang w:val="en-US"/>
        </w:rPr>
        <w:t>:</w:t>
      </w:r>
    </w:p>
    <w:p w:rsidR="00701B1F" w:rsidRPr="009A46A4" w:rsidRDefault="00701B1F" w:rsidP="009A061A">
      <w:pPr>
        <w:pStyle w:val="Opsomming3"/>
        <w:rPr>
          <w:lang w:val="en-US"/>
        </w:rPr>
      </w:pPr>
      <w:r>
        <w:rPr>
          <w:lang w:val="en-US"/>
        </w:rPr>
        <w:t xml:space="preserve">In September 2010 Rabobank </w:t>
      </w:r>
      <w:r w:rsidRPr="009A46A4">
        <w:rPr>
          <w:lang w:val="en-US"/>
        </w:rPr>
        <w:t xml:space="preserve">participated in a syndicated revolving credit facility for </w:t>
      </w:r>
      <w:r>
        <w:rPr>
          <w:lang w:val="en-US"/>
        </w:rPr>
        <w:t>Cargill</w:t>
      </w:r>
      <w:r w:rsidRPr="009A46A4">
        <w:rPr>
          <w:lang w:val="en-US"/>
        </w:rPr>
        <w:t xml:space="preserve">. The total value of the facility was US$ </w:t>
      </w:r>
      <w:r>
        <w:rPr>
          <w:lang w:val="en-US"/>
        </w:rPr>
        <w:t>5,000</w:t>
      </w:r>
      <w:r w:rsidRPr="009A46A4">
        <w:rPr>
          <w:lang w:val="en-US"/>
        </w:rPr>
        <w:t xml:space="preserve"> million (€ </w:t>
      </w:r>
      <w:r>
        <w:rPr>
          <w:lang w:val="en-US"/>
        </w:rPr>
        <w:t>3,589</w:t>
      </w:r>
      <w:r w:rsidRPr="009A46A4">
        <w:rPr>
          <w:lang w:val="en-US"/>
        </w:rPr>
        <w:t xml:space="preserve"> million)</w:t>
      </w:r>
      <w:r>
        <w:rPr>
          <w:lang w:val="en-US"/>
        </w:rPr>
        <w:t>, consisting of a three-year US$ 2,500 million tranche and an one-year US$ 2,500 million tranche</w:t>
      </w:r>
      <w:r w:rsidRPr="009A46A4">
        <w:rPr>
          <w:lang w:val="en-US"/>
        </w:rPr>
        <w:t xml:space="preserve">. </w:t>
      </w:r>
      <w:r>
        <w:rPr>
          <w:lang w:val="en-US"/>
        </w:rPr>
        <w:t>The banking syndicate consisted of 34</w:t>
      </w:r>
      <w:r w:rsidRPr="009A46A4">
        <w:rPr>
          <w:lang w:val="en-US"/>
        </w:rPr>
        <w:t xml:space="preserve"> banks.</w:t>
      </w:r>
      <w:r>
        <w:rPr>
          <w:lang w:val="en-US"/>
        </w:rPr>
        <w:t xml:space="preserve"> </w:t>
      </w:r>
      <w:r w:rsidRPr="009A46A4">
        <w:rPr>
          <w:lang w:val="en-US"/>
        </w:rPr>
        <w:t xml:space="preserve">The facility was initiated </w:t>
      </w:r>
      <w:r>
        <w:rPr>
          <w:lang w:val="en-US"/>
        </w:rPr>
        <w:t>for refinancing of bank debt and as a standby facility</w:t>
      </w:r>
      <w:r w:rsidRPr="009A46A4">
        <w:rPr>
          <w:lang w:val="en-US"/>
        </w:rPr>
        <w:t xml:space="preserve">. </w:t>
      </w:r>
      <w:r>
        <w:rPr>
          <w:lang w:val="en-US"/>
        </w:rPr>
        <w:t>Rabobank’s share is estimated at U</w:t>
      </w:r>
      <w:r w:rsidRPr="009A46A4">
        <w:rPr>
          <w:lang w:val="en-US"/>
        </w:rPr>
        <w:t xml:space="preserve">S$ </w:t>
      </w:r>
      <w:r>
        <w:rPr>
          <w:lang w:val="en-US"/>
        </w:rPr>
        <w:t>147</w:t>
      </w:r>
      <w:r w:rsidRPr="009A46A4">
        <w:rPr>
          <w:lang w:val="en-US"/>
        </w:rPr>
        <w:t xml:space="preserve"> million (€ </w:t>
      </w:r>
      <w:r>
        <w:rPr>
          <w:lang w:val="en-US"/>
        </w:rPr>
        <w:t>105</w:t>
      </w:r>
      <w:r w:rsidRPr="009A46A4">
        <w:rPr>
          <w:lang w:val="en-US"/>
        </w:rPr>
        <w:t xml:space="preserve"> million).</w:t>
      </w:r>
      <w:r w:rsidRPr="00031898">
        <w:rPr>
          <w:rStyle w:val="EndnoteReference"/>
        </w:rPr>
        <w:endnoteReference w:id="58"/>
      </w:r>
    </w:p>
    <w:p w:rsidR="00701B1F" w:rsidRDefault="00701B1F" w:rsidP="009A061A">
      <w:pPr>
        <w:pStyle w:val="Opsomming3"/>
        <w:numPr>
          <w:ilvl w:val="0"/>
          <w:numId w:val="0"/>
        </w:numPr>
        <w:ind w:left="567"/>
        <w:rPr>
          <w:b/>
          <w:lang w:val="en-US"/>
        </w:rPr>
      </w:pPr>
    </w:p>
    <w:p w:rsidR="002A1B13" w:rsidRPr="009A46A4" w:rsidRDefault="002A1B13" w:rsidP="009A061A">
      <w:pPr>
        <w:pStyle w:val="Opsomming3"/>
        <w:rPr>
          <w:lang w:val="en-US"/>
        </w:rPr>
      </w:pPr>
      <w:r>
        <w:rPr>
          <w:lang w:val="en-US"/>
        </w:rPr>
        <w:t xml:space="preserve">In February 2011 Rabobank </w:t>
      </w:r>
      <w:r w:rsidRPr="009A46A4">
        <w:rPr>
          <w:lang w:val="en-US"/>
        </w:rPr>
        <w:t xml:space="preserve">participated in a syndicated revolving credit facility for </w:t>
      </w:r>
      <w:r>
        <w:rPr>
          <w:lang w:val="en-US"/>
        </w:rPr>
        <w:t>Cargill</w:t>
      </w:r>
      <w:r w:rsidRPr="009A46A4">
        <w:rPr>
          <w:lang w:val="en-US"/>
        </w:rPr>
        <w:t>. The total value of the facility was US$ 1,</w:t>
      </w:r>
      <w:r>
        <w:rPr>
          <w:lang w:val="en-US"/>
        </w:rPr>
        <w:t>25</w:t>
      </w:r>
      <w:r w:rsidRPr="009A46A4">
        <w:rPr>
          <w:lang w:val="en-US"/>
        </w:rPr>
        <w:t xml:space="preserve">0 million (€ </w:t>
      </w:r>
      <w:r>
        <w:rPr>
          <w:lang w:val="en-US"/>
        </w:rPr>
        <w:t>888</w:t>
      </w:r>
      <w:r w:rsidRPr="009A46A4">
        <w:rPr>
          <w:lang w:val="en-US"/>
        </w:rPr>
        <w:t xml:space="preserve"> million). </w:t>
      </w:r>
      <w:r>
        <w:rPr>
          <w:lang w:val="en-US"/>
        </w:rPr>
        <w:t>The banking syndicate consisted of 23</w:t>
      </w:r>
      <w:r w:rsidRPr="009A46A4">
        <w:rPr>
          <w:lang w:val="en-US"/>
        </w:rPr>
        <w:t xml:space="preserve"> banks. The maturity date </w:t>
      </w:r>
      <w:r>
        <w:rPr>
          <w:lang w:val="en-US"/>
        </w:rPr>
        <w:t>was</w:t>
      </w:r>
      <w:r w:rsidRPr="009A46A4">
        <w:rPr>
          <w:lang w:val="en-US"/>
        </w:rPr>
        <w:t xml:space="preserve"> in </w:t>
      </w:r>
      <w:r>
        <w:rPr>
          <w:lang w:val="en-US"/>
        </w:rPr>
        <w:t>March</w:t>
      </w:r>
      <w:r w:rsidRPr="009A46A4">
        <w:rPr>
          <w:lang w:val="en-US"/>
        </w:rPr>
        <w:t xml:space="preserve"> 201</w:t>
      </w:r>
      <w:r>
        <w:rPr>
          <w:lang w:val="en-US"/>
        </w:rPr>
        <w:t>2</w:t>
      </w:r>
      <w:r w:rsidRPr="009A46A4">
        <w:rPr>
          <w:lang w:val="en-US"/>
        </w:rPr>
        <w:t xml:space="preserve">. The facility was initiated </w:t>
      </w:r>
      <w:r>
        <w:rPr>
          <w:lang w:val="en-US"/>
        </w:rPr>
        <w:t>for general corporate and working capital purposes</w:t>
      </w:r>
      <w:r w:rsidRPr="009A46A4">
        <w:rPr>
          <w:lang w:val="en-US"/>
        </w:rPr>
        <w:t xml:space="preserve">. </w:t>
      </w:r>
      <w:r>
        <w:rPr>
          <w:lang w:val="en-US"/>
        </w:rPr>
        <w:t xml:space="preserve">Rabobank committed an amount of </w:t>
      </w:r>
      <w:r w:rsidRPr="009A46A4">
        <w:rPr>
          <w:lang w:val="en-US"/>
        </w:rPr>
        <w:t xml:space="preserve">US$ </w:t>
      </w:r>
      <w:r>
        <w:rPr>
          <w:lang w:val="en-US"/>
        </w:rPr>
        <w:t>60</w:t>
      </w:r>
      <w:r w:rsidRPr="009A46A4">
        <w:rPr>
          <w:lang w:val="en-US"/>
        </w:rPr>
        <w:t xml:space="preserve"> million (€ </w:t>
      </w:r>
      <w:r>
        <w:rPr>
          <w:lang w:val="en-US"/>
        </w:rPr>
        <w:t>43</w:t>
      </w:r>
      <w:r w:rsidRPr="009A46A4">
        <w:rPr>
          <w:lang w:val="en-US"/>
        </w:rPr>
        <w:t xml:space="preserve"> million).</w:t>
      </w:r>
      <w:r w:rsidRPr="00031898">
        <w:rPr>
          <w:rStyle w:val="EndnoteReference"/>
        </w:rPr>
        <w:endnoteReference w:id="59"/>
      </w:r>
    </w:p>
    <w:p w:rsidR="002A1B13" w:rsidRPr="009A46A4" w:rsidRDefault="002A1B13" w:rsidP="009A061A">
      <w:pPr>
        <w:pStyle w:val="Opsomming3"/>
        <w:numPr>
          <w:ilvl w:val="0"/>
          <w:numId w:val="0"/>
        </w:numPr>
        <w:ind w:left="567"/>
        <w:rPr>
          <w:b/>
          <w:lang w:val="en-US"/>
        </w:rPr>
      </w:pPr>
    </w:p>
    <w:p w:rsidR="00A72C16" w:rsidRPr="009A46A4" w:rsidRDefault="00A72C16" w:rsidP="009A061A">
      <w:pPr>
        <w:pStyle w:val="Opsomming3"/>
        <w:rPr>
          <w:lang w:val="en-US"/>
        </w:rPr>
      </w:pPr>
      <w:r>
        <w:rPr>
          <w:lang w:val="en-US"/>
        </w:rPr>
        <w:t xml:space="preserve">In February 2012 Rabobank </w:t>
      </w:r>
      <w:r w:rsidRPr="009A46A4">
        <w:rPr>
          <w:lang w:val="en-US"/>
        </w:rPr>
        <w:t xml:space="preserve">participated in a syndicated revolving credit facility for </w:t>
      </w:r>
      <w:r>
        <w:rPr>
          <w:lang w:val="en-US"/>
        </w:rPr>
        <w:t>Cargill</w:t>
      </w:r>
      <w:r w:rsidRPr="009A46A4">
        <w:rPr>
          <w:lang w:val="en-US"/>
        </w:rPr>
        <w:t>. The total value of the facility was US$ 1,</w:t>
      </w:r>
      <w:r>
        <w:rPr>
          <w:lang w:val="en-US"/>
        </w:rPr>
        <w:t>25</w:t>
      </w:r>
      <w:r w:rsidRPr="009A46A4">
        <w:rPr>
          <w:lang w:val="en-US"/>
        </w:rPr>
        <w:t xml:space="preserve">0 million (€ </w:t>
      </w:r>
      <w:r>
        <w:rPr>
          <w:lang w:val="en-US"/>
        </w:rPr>
        <w:t>946</w:t>
      </w:r>
      <w:r w:rsidRPr="009A46A4">
        <w:rPr>
          <w:lang w:val="en-US"/>
        </w:rPr>
        <w:t xml:space="preserve"> million). </w:t>
      </w:r>
      <w:r>
        <w:rPr>
          <w:lang w:val="en-US"/>
        </w:rPr>
        <w:t>The banking syndicate consisted of 25</w:t>
      </w:r>
      <w:r w:rsidRPr="009A46A4">
        <w:rPr>
          <w:lang w:val="en-US"/>
        </w:rPr>
        <w:t xml:space="preserve"> banks. The maturity date </w:t>
      </w:r>
      <w:r w:rsidR="003E1169">
        <w:rPr>
          <w:lang w:val="en-US"/>
        </w:rPr>
        <w:t>was</w:t>
      </w:r>
      <w:r w:rsidRPr="009A46A4">
        <w:rPr>
          <w:lang w:val="en-US"/>
        </w:rPr>
        <w:t xml:space="preserve"> in </w:t>
      </w:r>
      <w:r>
        <w:rPr>
          <w:lang w:val="en-US"/>
        </w:rPr>
        <w:t>March</w:t>
      </w:r>
      <w:r w:rsidRPr="009A46A4">
        <w:rPr>
          <w:lang w:val="en-US"/>
        </w:rPr>
        <w:t xml:space="preserve"> 201</w:t>
      </w:r>
      <w:r>
        <w:rPr>
          <w:lang w:val="en-US"/>
        </w:rPr>
        <w:t>3</w:t>
      </w:r>
      <w:r w:rsidRPr="009A46A4">
        <w:rPr>
          <w:lang w:val="en-US"/>
        </w:rPr>
        <w:t xml:space="preserve">. The facility was initiated </w:t>
      </w:r>
      <w:r w:rsidR="000446BF">
        <w:rPr>
          <w:lang w:val="en-US"/>
        </w:rPr>
        <w:t>for general corporate purposes</w:t>
      </w:r>
      <w:r>
        <w:rPr>
          <w:lang w:val="en-US"/>
        </w:rPr>
        <w:t>, working capital and refinancing of bank debt</w:t>
      </w:r>
      <w:r w:rsidRPr="009A46A4">
        <w:rPr>
          <w:lang w:val="en-US"/>
        </w:rPr>
        <w:t xml:space="preserve">. </w:t>
      </w:r>
      <w:r>
        <w:rPr>
          <w:lang w:val="en-US"/>
        </w:rPr>
        <w:t>Rabobank’s share is estimated at U</w:t>
      </w:r>
      <w:r w:rsidRPr="009A46A4">
        <w:rPr>
          <w:lang w:val="en-US"/>
        </w:rPr>
        <w:t xml:space="preserve">S$ </w:t>
      </w:r>
      <w:r>
        <w:rPr>
          <w:lang w:val="en-US"/>
        </w:rPr>
        <w:t>50</w:t>
      </w:r>
      <w:r w:rsidRPr="009A46A4">
        <w:rPr>
          <w:lang w:val="en-US"/>
        </w:rPr>
        <w:t xml:space="preserve"> million (€ </w:t>
      </w:r>
      <w:r>
        <w:rPr>
          <w:lang w:val="en-US"/>
        </w:rPr>
        <w:t>38</w:t>
      </w:r>
      <w:r w:rsidRPr="009A46A4">
        <w:rPr>
          <w:lang w:val="en-US"/>
        </w:rPr>
        <w:t xml:space="preserve"> million).</w:t>
      </w:r>
      <w:r w:rsidRPr="00031898">
        <w:rPr>
          <w:rStyle w:val="EndnoteReference"/>
        </w:rPr>
        <w:endnoteReference w:id="60"/>
      </w:r>
    </w:p>
    <w:p w:rsidR="00DD118D" w:rsidRDefault="00DD118D" w:rsidP="009A061A">
      <w:pPr>
        <w:pStyle w:val="Opsomming3"/>
        <w:numPr>
          <w:ilvl w:val="0"/>
          <w:numId w:val="0"/>
        </w:numPr>
        <w:ind w:left="567"/>
        <w:rPr>
          <w:lang w:val="en-US"/>
        </w:rPr>
      </w:pPr>
    </w:p>
    <w:p w:rsidR="00DD118D" w:rsidRPr="009A46A4" w:rsidRDefault="00DD118D" w:rsidP="009A061A">
      <w:pPr>
        <w:pStyle w:val="Opsomming3"/>
        <w:rPr>
          <w:lang w:val="en-US"/>
        </w:rPr>
      </w:pPr>
      <w:r>
        <w:rPr>
          <w:lang w:val="en-US"/>
        </w:rPr>
        <w:lastRenderedPageBreak/>
        <w:t xml:space="preserve">In February 2013 Rabobank </w:t>
      </w:r>
      <w:r w:rsidRPr="009A46A4">
        <w:rPr>
          <w:lang w:val="en-US"/>
        </w:rPr>
        <w:t xml:space="preserve">participated in a syndicated revolving credit facility for </w:t>
      </w:r>
      <w:r>
        <w:rPr>
          <w:lang w:val="en-US"/>
        </w:rPr>
        <w:t>Cargill</w:t>
      </w:r>
      <w:r w:rsidRPr="009A46A4">
        <w:rPr>
          <w:lang w:val="en-US"/>
        </w:rPr>
        <w:t>. The total value of the facility was US$ 1,</w:t>
      </w:r>
      <w:r>
        <w:rPr>
          <w:lang w:val="en-US"/>
        </w:rPr>
        <w:t>25</w:t>
      </w:r>
      <w:r w:rsidRPr="009A46A4">
        <w:rPr>
          <w:lang w:val="en-US"/>
        </w:rPr>
        <w:t xml:space="preserve">0 million (€ </w:t>
      </w:r>
      <w:r>
        <w:rPr>
          <w:lang w:val="en-US"/>
        </w:rPr>
        <w:t>965</w:t>
      </w:r>
      <w:r w:rsidRPr="009A46A4">
        <w:rPr>
          <w:lang w:val="en-US"/>
        </w:rPr>
        <w:t xml:space="preserve"> million). </w:t>
      </w:r>
      <w:r>
        <w:rPr>
          <w:lang w:val="en-US"/>
        </w:rPr>
        <w:t>The banking syndicate consisted of 31</w:t>
      </w:r>
      <w:r w:rsidRPr="009A46A4">
        <w:rPr>
          <w:lang w:val="en-US"/>
        </w:rPr>
        <w:t xml:space="preserve"> banks. The maturity date </w:t>
      </w:r>
      <w:r>
        <w:rPr>
          <w:lang w:val="en-US"/>
        </w:rPr>
        <w:t>is</w:t>
      </w:r>
      <w:r w:rsidRPr="009A46A4">
        <w:rPr>
          <w:lang w:val="en-US"/>
        </w:rPr>
        <w:t xml:space="preserve"> in </w:t>
      </w:r>
      <w:r>
        <w:rPr>
          <w:lang w:val="en-US"/>
        </w:rPr>
        <w:t>March</w:t>
      </w:r>
      <w:r w:rsidRPr="009A46A4">
        <w:rPr>
          <w:lang w:val="en-US"/>
        </w:rPr>
        <w:t xml:space="preserve"> 201</w:t>
      </w:r>
      <w:r>
        <w:rPr>
          <w:lang w:val="en-US"/>
        </w:rPr>
        <w:t>4</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Rabobank’s share is estimated at U</w:t>
      </w:r>
      <w:r w:rsidRPr="009A46A4">
        <w:rPr>
          <w:lang w:val="en-US"/>
        </w:rPr>
        <w:t xml:space="preserve">S$ </w:t>
      </w:r>
      <w:r>
        <w:rPr>
          <w:lang w:val="en-US"/>
        </w:rPr>
        <w:t>40</w:t>
      </w:r>
      <w:r w:rsidRPr="009A46A4">
        <w:rPr>
          <w:lang w:val="en-US"/>
        </w:rPr>
        <w:t xml:space="preserve"> million (€ </w:t>
      </w:r>
      <w:r>
        <w:rPr>
          <w:lang w:val="en-US"/>
        </w:rPr>
        <w:t>31</w:t>
      </w:r>
      <w:r w:rsidRPr="009A46A4">
        <w:rPr>
          <w:lang w:val="en-US"/>
        </w:rPr>
        <w:t xml:space="preserve"> million).</w:t>
      </w:r>
      <w:r w:rsidRPr="00031898">
        <w:rPr>
          <w:rStyle w:val="EndnoteReference"/>
        </w:rPr>
        <w:endnoteReference w:id="61"/>
      </w:r>
    </w:p>
    <w:p w:rsidR="00DD118D" w:rsidRDefault="00DD118D" w:rsidP="00415768">
      <w:pPr>
        <w:rPr>
          <w:lang w:val="en-US"/>
        </w:rPr>
      </w:pPr>
    </w:p>
    <w:p w:rsidR="004F463B" w:rsidRPr="004F463B" w:rsidRDefault="004F463B" w:rsidP="009A061A">
      <w:pPr>
        <w:pStyle w:val="Opsomming1"/>
        <w:rPr>
          <w:lang w:val="en-US"/>
        </w:rPr>
      </w:pPr>
      <w:r w:rsidRPr="004F463B">
        <w:rPr>
          <w:lang w:val="en-US"/>
        </w:rPr>
        <w:t>Copersucar:</w:t>
      </w:r>
    </w:p>
    <w:p w:rsidR="008B470A" w:rsidRDefault="008B470A" w:rsidP="009A061A">
      <w:pPr>
        <w:pStyle w:val="Opsomming3"/>
        <w:rPr>
          <w:lang w:val="en-US"/>
        </w:rPr>
      </w:pPr>
      <w:r>
        <w:rPr>
          <w:lang w:val="en-US"/>
        </w:rPr>
        <w:t xml:space="preserve">As of 31 March 2012 Rabobank provided an export advance to Copersucar. </w:t>
      </w:r>
      <w:r w:rsidRPr="009A46A4">
        <w:rPr>
          <w:lang w:val="en-US"/>
        </w:rPr>
        <w:t xml:space="preserve">The total value of the facility was </w:t>
      </w:r>
      <w:r>
        <w:rPr>
          <w:lang w:val="en-US"/>
        </w:rPr>
        <w:t>R$ 182 million (</w:t>
      </w:r>
      <w:r w:rsidRPr="009A46A4">
        <w:rPr>
          <w:lang w:val="en-US"/>
        </w:rPr>
        <w:t xml:space="preserve">€ </w:t>
      </w:r>
      <w:r>
        <w:rPr>
          <w:lang w:val="en-US"/>
        </w:rPr>
        <w:t>75</w:t>
      </w:r>
      <w:r w:rsidRPr="009A46A4">
        <w:rPr>
          <w:lang w:val="en-US"/>
        </w:rPr>
        <w:t xml:space="preserve"> million). The maturity date </w:t>
      </w:r>
      <w:r>
        <w:rPr>
          <w:lang w:val="en-US"/>
        </w:rPr>
        <w:t>is</w:t>
      </w:r>
      <w:r w:rsidRPr="009A46A4">
        <w:rPr>
          <w:lang w:val="en-US"/>
        </w:rPr>
        <w:t xml:space="preserve"> in </w:t>
      </w:r>
      <w:r>
        <w:rPr>
          <w:lang w:val="en-US"/>
        </w:rPr>
        <w:t>March</w:t>
      </w:r>
      <w:r w:rsidRPr="009A46A4">
        <w:rPr>
          <w:lang w:val="en-US"/>
        </w:rPr>
        <w:t xml:space="preserve"> 201</w:t>
      </w:r>
      <w:r>
        <w:rPr>
          <w:lang w:val="en-US"/>
        </w:rPr>
        <w:t>4</w:t>
      </w:r>
      <w:r w:rsidRPr="009A46A4">
        <w:rPr>
          <w:lang w:val="en-US"/>
        </w:rPr>
        <w:t>.</w:t>
      </w:r>
      <w:r w:rsidRPr="00031898">
        <w:rPr>
          <w:rStyle w:val="EndnoteReference"/>
        </w:rPr>
        <w:endnoteReference w:id="62"/>
      </w:r>
    </w:p>
    <w:p w:rsidR="008B470A" w:rsidRDefault="008B470A" w:rsidP="009A061A">
      <w:pPr>
        <w:pStyle w:val="Opsomming3"/>
        <w:numPr>
          <w:ilvl w:val="0"/>
          <w:numId w:val="0"/>
        </w:numPr>
        <w:ind w:left="567"/>
        <w:rPr>
          <w:lang w:val="en-US"/>
        </w:rPr>
      </w:pPr>
    </w:p>
    <w:p w:rsidR="004F463B" w:rsidRDefault="004F463B" w:rsidP="009A061A">
      <w:pPr>
        <w:pStyle w:val="Opsomming3"/>
        <w:rPr>
          <w:lang w:val="en-US"/>
        </w:rPr>
      </w:pPr>
      <w:r>
        <w:rPr>
          <w:lang w:val="en-US"/>
        </w:rPr>
        <w:t xml:space="preserve">As of 31 March 2013 Rabobank provided </w:t>
      </w:r>
      <w:r w:rsidR="008B470A">
        <w:rPr>
          <w:lang w:val="en-US"/>
        </w:rPr>
        <w:t>N</w:t>
      </w:r>
      <w:r>
        <w:rPr>
          <w:lang w:val="en-US"/>
        </w:rPr>
        <w:t>CE financing</w:t>
      </w:r>
      <w:r w:rsidR="00937BA9">
        <w:rPr>
          <w:lang w:val="en-US"/>
        </w:rPr>
        <w:t xml:space="preserve"> to Copersucar. </w:t>
      </w:r>
      <w:r w:rsidRPr="009A46A4">
        <w:rPr>
          <w:lang w:val="en-US"/>
        </w:rPr>
        <w:t xml:space="preserve">The total value of the facility was </w:t>
      </w:r>
      <w:r w:rsidR="00937BA9">
        <w:rPr>
          <w:lang w:val="en-US"/>
        </w:rPr>
        <w:t>R$ 72 million (</w:t>
      </w:r>
      <w:r w:rsidRPr="009A46A4">
        <w:rPr>
          <w:lang w:val="en-US"/>
        </w:rPr>
        <w:t xml:space="preserve">€ </w:t>
      </w:r>
      <w:r w:rsidR="00937BA9">
        <w:rPr>
          <w:lang w:val="en-US"/>
        </w:rPr>
        <w:t>28</w:t>
      </w:r>
      <w:r w:rsidRPr="009A46A4">
        <w:rPr>
          <w:lang w:val="en-US"/>
        </w:rPr>
        <w:t xml:space="preserve"> million). The maturity date </w:t>
      </w:r>
      <w:r>
        <w:rPr>
          <w:lang w:val="en-US"/>
        </w:rPr>
        <w:t>is</w:t>
      </w:r>
      <w:r w:rsidRPr="009A46A4">
        <w:rPr>
          <w:lang w:val="en-US"/>
        </w:rPr>
        <w:t xml:space="preserve"> in </w:t>
      </w:r>
      <w:r>
        <w:rPr>
          <w:lang w:val="en-US"/>
        </w:rPr>
        <w:t>March</w:t>
      </w:r>
      <w:r w:rsidRPr="009A46A4">
        <w:rPr>
          <w:lang w:val="en-US"/>
        </w:rPr>
        <w:t xml:space="preserve"> 201</w:t>
      </w:r>
      <w:r>
        <w:rPr>
          <w:lang w:val="en-US"/>
        </w:rPr>
        <w:t>4</w:t>
      </w:r>
      <w:r w:rsidRPr="009A46A4">
        <w:rPr>
          <w:lang w:val="en-US"/>
        </w:rPr>
        <w:t>.</w:t>
      </w:r>
      <w:r w:rsidRPr="00031898">
        <w:rPr>
          <w:rStyle w:val="EndnoteReference"/>
        </w:rPr>
        <w:endnoteReference w:id="63"/>
      </w:r>
    </w:p>
    <w:p w:rsidR="00937BA9" w:rsidRDefault="00937BA9" w:rsidP="009A061A">
      <w:pPr>
        <w:pStyle w:val="Opsomming3"/>
        <w:numPr>
          <w:ilvl w:val="0"/>
          <w:numId w:val="0"/>
        </w:numPr>
        <w:ind w:left="567"/>
        <w:rPr>
          <w:lang w:val="en-US"/>
        </w:rPr>
      </w:pPr>
    </w:p>
    <w:p w:rsidR="00937BA9" w:rsidRPr="009A46A4" w:rsidRDefault="00937BA9" w:rsidP="009A061A">
      <w:pPr>
        <w:pStyle w:val="Opsomming3"/>
        <w:rPr>
          <w:lang w:val="en-US"/>
        </w:rPr>
      </w:pPr>
      <w:r>
        <w:rPr>
          <w:lang w:val="en-US"/>
        </w:rPr>
        <w:t xml:space="preserve">As of 31 March 2013 Rabobank provided working capital financing to Copersucar. </w:t>
      </w:r>
      <w:r w:rsidRPr="009A46A4">
        <w:rPr>
          <w:lang w:val="en-US"/>
        </w:rPr>
        <w:t xml:space="preserve">The total value of the facility was </w:t>
      </w:r>
      <w:r>
        <w:rPr>
          <w:lang w:val="en-US"/>
        </w:rPr>
        <w:t xml:space="preserve">R$ </w:t>
      </w:r>
      <w:r w:rsidR="008B470A">
        <w:rPr>
          <w:lang w:val="en-US"/>
        </w:rPr>
        <w:t>202</w:t>
      </w:r>
      <w:r>
        <w:rPr>
          <w:lang w:val="en-US"/>
        </w:rPr>
        <w:t xml:space="preserve"> million (</w:t>
      </w:r>
      <w:r w:rsidRPr="009A46A4">
        <w:rPr>
          <w:lang w:val="en-US"/>
        </w:rPr>
        <w:t xml:space="preserve">€ </w:t>
      </w:r>
      <w:r w:rsidR="008B470A">
        <w:rPr>
          <w:lang w:val="en-US"/>
        </w:rPr>
        <w:t>78</w:t>
      </w:r>
      <w:r w:rsidRPr="009A46A4">
        <w:rPr>
          <w:lang w:val="en-US"/>
        </w:rPr>
        <w:t xml:space="preserve"> million). The maturity date </w:t>
      </w:r>
      <w:r>
        <w:rPr>
          <w:lang w:val="en-US"/>
        </w:rPr>
        <w:t>is</w:t>
      </w:r>
      <w:r w:rsidRPr="009A46A4">
        <w:rPr>
          <w:lang w:val="en-US"/>
        </w:rPr>
        <w:t xml:space="preserve"> in 201</w:t>
      </w:r>
      <w:r>
        <w:rPr>
          <w:lang w:val="en-US"/>
        </w:rPr>
        <w:t>4</w:t>
      </w:r>
      <w:r w:rsidRPr="009A46A4">
        <w:rPr>
          <w:lang w:val="en-US"/>
        </w:rPr>
        <w:t>.</w:t>
      </w:r>
      <w:r w:rsidRPr="00031898">
        <w:rPr>
          <w:rStyle w:val="EndnoteReference"/>
        </w:rPr>
        <w:endnoteReference w:id="64"/>
      </w:r>
    </w:p>
    <w:p w:rsidR="004F463B" w:rsidRDefault="004F463B" w:rsidP="00415768">
      <w:pPr>
        <w:rPr>
          <w:lang w:val="en-US"/>
        </w:rPr>
      </w:pPr>
    </w:p>
    <w:p w:rsidR="00782438" w:rsidRDefault="00782438" w:rsidP="009A061A">
      <w:pPr>
        <w:pStyle w:val="Opsomming1"/>
        <w:rPr>
          <w:lang w:val="en-US"/>
        </w:rPr>
      </w:pPr>
      <w:r>
        <w:rPr>
          <w:lang w:val="en-US"/>
        </w:rPr>
        <w:t>Louis Dreyfus</w:t>
      </w:r>
      <w:r w:rsidRPr="009A46A4">
        <w:rPr>
          <w:lang w:val="en-US"/>
        </w:rPr>
        <w:t>:</w:t>
      </w:r>
    </w:p>
    <w:p w:rsidR="00A427BC" w:rsidRDefault="00A427BC" w:rsidP="009A061A">
      <w:pPr>
        <w:pStyle w:val="Opsomming3"/>
        <w:rPr>
          <w:lang w:val="en-US"/>
        </w:rPr>
      </w:pPr>
      <w:r>
        <w:rPr>
          <w:lang w:val="en-US"/>
        </w:rPr>
        <w:t xml:space="preserve">In October 2010 Rabobank </w:t>
      </w:r>
      <w:r w:rsidRPr="009A46A4">
        <w:rPr>
          <w:lang w:val="en-US"/>
        </w:rPr>
        <w:t xml:space="preserve">participated in a syndicated revolving credit facility for </w:t>
      </w:r>
      <w:r>
        <w:rPr>
          <w:lang w:val="en-US"/>
        </w:rPr>
        <w:t>Louis Dreyfus Energy, a subsidiary of Louis Dreyfus</w:t>
      </w:r>
      <w:r w:rsidRPr="009A46A4">
        <w:rPr>
          <w:lang w:val="en-US"/>
        </w:rPr>
        <w:t xml:space="preserve">. The total value of the facility was US$ </w:t>
      </w:r>
      <w:r>
        <w:rPr>
          <w:lang w:val="en-US"/>
        </w:rPr>
        <w:t>2,000 m</w:t>
      </w:r>
      <w:r w:rsidRPr="009A46A4">
        <w:rPr>
          <w:lang w:val="en-US"/>
        </w:rPr>
        <w:t xml:space="preserve">illion (€ </w:t>
      </w:r>
      <w:r>
        <w:rPr>
          <w:lang w:val="en-US"/>
        </w:rPr>
        <w:t>1,443</w:t>
      </w:r>
      <w:r w:rsidRPr="009A46A4">
        <w:rPr>
          <w:lang w:val="en-US"/>
        </w:rPr>
        <w:t xml:space="preserve"> million)</w:t>
      </w:r>
      <w:r>
        <w:rPr>
          <w:lang w:val="en-US"/>
        </w:rPr>
        <w:t xml:space="preserve">, consisting of a three-year revolving credit facility with a value of US$ 1,250 million and five-year revolving credit facility with a value of US$ </w:t>
      </w:r>
      <w:r w:rsidR="00556B0B">
        <w:rPr>
          <w:lang w:val="en-US"/>
        </w:rPr>
        <w:t>750</w:t>
      </w:r>
      <w:r>
        <w:rPr>
          <w:lang w:val="en-US"/>
        </w:rPr>
        <w:t xml:space="preserve"> million</w:t>
      </w:r>
      <w:r w:rsidRPr="009A46A4">
        <w:rPr>
          <w:lang w:val="en-US"/>
        </w:rPr>
        <w:t xml:space="preserve">. </w:t>
      </w:r>
      <w:r>
        <w:rPr>
          <w:lang w:val="en-US"/>
        </w:rPr>
        <w:t xml:space="preserve">The banking syndicate consisted of </w:t>
      </w:r>
      <w:r w:rsidR="00556B0B">
        <w:rPr>
          <w:lang w:val="en-US"/>
        </w:rPr>
        <w:t>16</w:t>
      </w:r>
      <w:r w:rsidRPr="009A46A4">
        <w:rPr>
          <w:lang w:val="en-US"/>
        </w:rPr>
        <w:t xml:space="preserve"> banks</w:t>
      </w:r>
      <w:r w:rsidR="00556B0B">
        <w:rPr>
          <w:lang w:val="en-US"/>
        </w:rPr>
        <w:t xml:space="preserve"> and was led by five banks</w:t>
      </w:r>
      <w:r w:rsidRPr="009A46A4">
        <w:rPr>
          <w:lang w:val="en-US"/>
        </w:rPr>
        <w:t xml:space="preserve">. The facility was initiated </w:t>
      </w:r>
      <w:r>
        <w:rPr>
          <w:lang w:val="en-US"/>
        </w:rPr>
        <w:t>for general corporate</w:t>
      </w:r>
      <w:r w:rsidR="00556B0B">
        <w:rPr>
          <w:lang w:val="en-US"/>
        </w:rPr>
        <w:t>, working capital and refinancing purposes</w:t>
      </w:r>
      <w:r w:rsidRPr="009A46A4">
        <w:rPr>
          <w:lang w:val="en-US"/>
        </w:rPr>
        <w:t xml:space="preserve">. </w:t>
      </w:r>
      <w:r>
        <w:rPr>
          <w:lang w:val="en-US"/>
        </w:rPr>
        <w:t>Rabobank’s share is estimated at U</w:t>
      </w:r>
      <w:r w:rsidRPr="009A46A4">
        <w:rPr>
          <w:lang w:val="en-US"/>
        </w:rPr>
        <w:t xml:space="preserve">S$ </w:t>
      </w:r>
      <w:r w:rsidR="00556B0B">
        <w:rPr>
          <w:lang w:val="en-US"/>
        </w:rPr>
        <w:t xml:space="preserve">61 </w:t>
      </w:r>
      <w:r w:rsidRPr="009A46A4">
        <w:rPr>
          <w:lang w:val="en-US"/>
        </w:rPr>
        <w:t xml:space="preserve">million (€ </w:t>
      </w:r>
      <w:r w:rsidR="00556B0B">
        <w:rPr>
          <w:lang w:val="en-US"/>
        </w:rPr>
        <w:t>44</w:t>
      </w:r>
      <w:r w:rsidRPr="009A46A4">
        <w:rPr>
          <w:lang w:val="en-US"/>
        </w:rPr>
        <w:t xml:space="preserve"> million).</w:t>
      </w:r>
      <w:r w:rsidRPr="00031898">
        <w:rPr>
          <w:rStyle w:val="EndnoteReference"/>
        </w:rPr>
        <w:endnoteReference w:id="65"/>
      </w:r>
    </w:p>
    <w:p w:rsidR="005E44ED" w:rsidRDefault="005E44ED" w:rsidP="009A061A">
      <w:pPr>
        <w:pStyle w:val="Opsomming3"/>
        <w:numPr>
          <w:ilvl w:val="0"/>
          <w:numId w:val="0"/>
        </w:numPr>
        <w:ind w:left="567"/>
        <w:rPr>
          <w:lang w:val="en-US"/>
        </w:rPr>
      </w:pPr>
    </w:p>
    <w:p w:rsidR="005E44ED" w:rsidRDefault="005E44ED" w:rsidP="009A061A">
      <w:pPr>
        <w:pStyle w:val="Opsomming3"/>
        <w:rPr>
          <w:lang w:val="en-US"/>
        </w:rPr>
      </w:pPr>
      <w:r>
        <w:rPr>
          <w:lang w:val="en-US"/>
        </w:rPr>
        <w:t xml:space="preserve">In May 2011 Rabobank </w:t>
      </w:r>
      <w:r w:rsidRPr="009A46A4">
        <w:rPr>
          <w:lang w:val="en-US"/>
        </w:rPr>
        <w:t xml:space="preserve">participated in a syndicated credit facility for </w:t>
      </w:r>
      <w:r>
        <w:rPr>
          <w:lang w:val="en-US"/>
        </w:rPr>
        <w:t>Louis Dreyfus Commodities Asia, a subsidiary of Louis Dreyfus</w:t>
      </w:r>
      <w:r w:rsidRPr="009A46A4">
        <w:rPr>
          <w:lang w:val="en-US"/>
        </w:rPr>
        <w:t xml:space="preserve">. The total value of the facility was US$ </w:t>
      </w:r>
      <w:r>
        <w:rPr>
          <w:lang w:val="en-US"/>
        </w:rPr>
        <w:t xml:space="preserve">400 </w:t>
      </w:r>
      <w:r w:rsidRPr="009A46A4">
        <w:rPr>
          <w:lang w:val="en-US"/>
        </w:rPr>
        <w:t xml:space="preserve">million (€ </w:t>
      </w:r>
      <w:r>
        <w:rPr>
          <w:lang w:val="en-US"/>
        </w:rPr>
        <w:t>278</w:t>
      </w:r>
      <w:r w:rsidRPr="009A46A4">
        <w:rPr>
          <w:lang w:val="en-US"/>
        </w:rPr>
        <w:t xml:space="preserve"> million)</w:t>
      </w:r>
      <w:r>
        <w:rPr>
          <w:lang w:val="en-US"/>
        </w:rPr>
        <w:t>, consisting of a three-year US$ 242 million term loan, a five-year US$ 55 million term loan and a three-year US$ 104 million revolving credit facility</w:t>
      </w:r>
      <w:r w:rsidRPr="009A46A4">
        <w:rPr>
          <w:lang w:val="en-US"/>
        </w:rPr>
        <w:t xml:space="preserve">. </w:t>
      </w:r>
      <w:r>
        <w:rPr>
          <w:lang w:val="en-US"/>
        </w:rPr>
        <w:t>The banking syndicate consisted of 22</w:t>
      </w:r>
      <w:r w:rsidRPr="009A46A4">
        <w:rPr>
          <w:lang w:val="en-US"/>
        </w:rPr>
        <w:t xml:space="preserve"> banks. The facility was initiated </w:t>
      </w:r>
      <w:r>
        <w:rPr>
          <w:lang w:val="en-US"/>
        </w:rPr>
        <w:t>for general corporate purposes</w:t>
      </w:r>
      <w:r w:rsidRPr="009A46A4">
        <w:rPr>
          <w:lang w:val="en-US"/>
        </w:rPr>
        <w:t xml:space="preserve">. </w:t>
      </w:r>
      <w:r>
        <w:rPr>
          <w:lang w:val="en-US"/>
        </w:rPr>
        <w:t>Rabobank committed an amount of U</w:t>
      </w:r>
      <w:r w:rsidRPr="009A46A4">
        <w:rPr>
          <w:lang w:val="en-US"/>
        </w:rPr>
        <w:t xml:space="preserve">S$ </w:t>
      </w:r>
      <w:r>
        <w:rPr>
          <w:lang w:val="en-US"/>
        </w:rPr>
        <w:t>20</w:t>
      </w:r>
      <w:r w:rsidRPr="009A46A4">
        <w:rPr>
          <w:lang w:val="en-US"/>
        </w:rPr>
        <w:t xml:space="preserve"> million (€ </w:t>
      </w:r>
      <w:r>
        <w:rPr>
          <w:lang w:val="en-US"/>
        </w:rPr>
        <w:t>14</w:t>
      </w:r>
      <w:r w:rsidRPr="009A46A4">
        <w:rPr>
          <w:lang w:val="en-US"/>
        </w:rPr>
        <w:t xml:space="preserve"> million).</w:t>
      </w:r>
      <w:r w:rsidRPr="00031898">
        <w:rPr>
          <w:rStyle w:val="EndnoteReference"/>
        </w:rPr>
        <w:endnoteReference w:id="66"/>
      </w:r>
    </w:p>
    <w:p w:rsidR="00A427BC" w:rsidRPr="009A46A4" w:rsidRDefault="00A427BC" w:rsidP="009A061A">
      <w:pPr>
        <w:pStyle w:val="Opsomming3"/>
        <w:numPr>
          <w:ilvl w:val="0"/>
          <w:numId w:val="0"/>
        </w:numPr>
        <w:ind w:left="567"/>
        <w:rPr>
          <w:b/>
          <w:lang w:val="en-US"/>
        </w:rPr>
      </w:pPr>
    </w:p>
    <w:p w:rsidR="00782438" w:rsidRDefault="00782438" w:rsidP="009A061A">
      <w:pPr>
        <w:pStyle w:val="Opsomming3"/>
        <w:rPr>
          <w:lang w:val="en-US"/>
        </w:rPr>
      </w:pPr>
      <w:r>
        <w:rPr>
          <w:lang w:val="en-US"/>
        </w:rPr>
        <w:t xml:space="preserve">In October 2011 Rabobank </w:t>
      </w:r>
      <w:r w:rsidRPr="009A46A4">
        <w:rPr>
          <w:lang w:val="en-US"/>
        </w:rPr>
        <w:t xml:space="preserve">participated in a syndicated credit facility for </w:t>
      </w:r>
      <w:r>
        <w:rPr>
          <w:lang w:val="en-US"/>
        </w:rPr>
        <w:t>Louis Dreyfus</w:t>
      </w:r>
      <w:r w:rsidRPr="009A46A4">
        <w:rPr>
          <w:lang w:val="en-US"/>
        </w:rPr>
        <w:t xml:space="preserve">. The total value of the facility was US$ </w:t>
      </w:r>
      <w:r>
        <w:rPr>
          <w:lang w:val="en-US"/>
        </w:rPr>
        <w:t>797</w:t>
      </w:r>
      <w:r w:rsidRPr="009A46A4">
        <w:rPr>
          <w:lang w:val="en-US"/>
        </w:rPr>
        <w:t xml:space="preserve"> million (€ </w:t>
      </w:r>
      <w:r>
        <w:rPr>
          <w:lang w:val="en-US"/>
        </w:rPr>
        <w:t>605</w:t>
      </w:r>
      <w:r w:rsidRPr="009A46A4">
        <w:rPr>
          <w:lang w:val="en-US"/>
        </w:rPr>
        <w:t xml:space="preserve"> million)</w:t>
      </w:r>
      <w:r>
        <w:rPr>
          <w:lang w:val="en-US"/>
        </w:rPr>
        <w:t>, consisting of US$ 227 million term loan and two revolving credit facilities totaling US$ 571 million</w:t>
      </w:r>
      <w:r w:rsidRPr="009A46A4">
        <w:rPr>
          <w:lang w:val="en-US"/>
        </w:rPr>
        <w:t xml:space="preserve">. </w:t>
      </w:r>
      <w:r>
        <w:rPr>
          <w:lang w:val="en-US"/>
        </w:rPr>
        <w:t>The banking syndicate consisted of 28</w:t>
      </w:r>
      <w:r w:rsidRPr="009A46A4">
        <w:rPr>
          <w:lang w:val="en-US"/>
        </w:rPr>
        <w:t xml:space="preserve"> banks. The maturity date is in </w:t>
      </w:r>
      <w:r>
        <w:rPr>
          <w:lang w:val="en-US"/>
        </w:rPr>
        <w:t>December</w:t>
      </w:r>
      <w:r w:rsidRPr="009A46A4">
        <w:rPr>
          <w:lang w:val="en-US"/>
        </w:rPr>
        <w:t xml:space="preserve"> 201</w:t>
      </w:r>
      <w:r>
        <w:rPr>
          <w:lang w:val="en-US"/>
        </w:rPr>
        <w:t>4</w:t>
      </w:r>
      <w:r w:rsidRPr="009A46A4">
        <w:rPr>
          <w:lang w:val="en-US"/>
        </w:rPr>
        <w:t xml:space="preserve">. The facility was initiated </w:t>
      </w:r>
      <w:r w:rsidR="000446BF">
        <w:rPr>
          <w:lang w:val="en-US"/>
        </w:rPr>
        <w:t>for general corporate purposes</w:t>
      </w:r>
      <w:r w:rsidRPr="009A46A4">
        <w:rPr>
          <w:lang w:val="en-US"/>
        </w:rPr>
        <w:t xml:space="preserve">. </w:t>
      </w:r>
      <w:r w:rsidR="00DA2B99">
        <w:rPr>
          <w:lang w:val="en-US"/>
        </w:rPr>
        <w:t>Rabobank’s</w:t>
      </w:r>
      <w:r>
        <w:rPr>
          <w:lang w:val="en-US"/>
        </w:rPr>
        <w:t xml:space="preserve"> share is estimated at U</w:t>
      </w:r>
      <w:r w:rsidRPr="009A46A4">
        <w:rPr>
          <w:lang w:val="en-US"/>
        </w:rPr>
        <w:t xml:space="preserve">S$ </w:t>
      </w:r>
      <w:r>
        <w:rPr>
          <w:lang w:val="en-US"/>
        </w:rPr>
        <w:t>28</w:t>
      </w:r>
      <w:r w:rsidRPr="009A46A4">
        <w:rPr>
          <w:lang w:val="en-US"/>
        </w:rPr>
        <w:t xml:space="preserve"> million (€ </w:t>
      </w:r>
      <w:r>
        <w:rPr>
          <w:lang w:val="en-US"/>
        </w:rPr>
        <w:t>21</w:t>
      </w:r>
      <w:r w:rsidRPr="009A46A4">
        <w:rPr>
          <w:lang w:val="en-US"/>
        </w:rPr>
        <w:t xml:space="preserve"> million).</w:t>
      </w:r>
      <w:r w:rsidRPr="00031898">
        <w:rPr>
          <w:rStyle w:val="EndnoteReference"/>
        </w:rPr>
        <w:endnoteReference w:id="67"/>
      </w:r>
    </w:p>
    <w:p w:rsidR="00782438" w:rsidRDefault="00782438" w:rsidP="009A061A">
      <w:pPr>
        <w:pStyle w:val="Opsomming3"/>
        <w:numPr>
          <w:ilvl w:val="0"/>
          <w:numId w:val="0"/>
        </w:numPr>
        <w:ind w:left="567"/>
        <w:rPr>
          <w:lang w:val="en-US"/>
        </w:rPr>
      </w:pPr>
    </w:p>
    <w:p w:rsidR="00782438" w:rsidRDefault="00782438" w:rsidP="009A061A">
      <w:pPr>
        <w:pStyle w:val="Opsomming3"/>
        <w:rPr>
          <w:lang w:val="en-US"/>
        </w:rPr>
      </w:pPr>
      <w:r>
        <w:rPr>
          <w:lang w:val="en-US"/>
        </w:rPr>
        <w:t xml:space="preserve">In April 2012 </w:t>
      </w:r>
      <w:r w:rsidR="00DA2B99">
        <w:rPr>
          <w:lang w:val="en-US"/>
        </w:rPr>
        <w:t>Rabobank</w:t>
      </w:r>
      <w:r>
        <w:rPr>
          <w:lang w:val="en-US"/>
        </w:rPr>
        <w:t xml:space="preserve"> </w:t>
      </w:r>
      <w:r w:rsidRPr="009A46A4">
        <w:rPr>
          <w:lang w:val="en-US"/>
        </w:rPr>
        <w:t xml:space="preserve">participated in a syndicated revolving credit facility for </w:t>
      </w:r>
      <w:r>
        <w:rPr>
          <w:lang w:val="en-US"/>
        </w:rPr>
        <w:t>Louis Dreyfus</w:t>
      </w:r>
      <w:r w:rsidRPr="009A46A4">
        <w:rPr>
          <w:lang w:val="en-US"/>
        </w:rPr>
        <w:t xml:space="preserve">. The total value of the facility was US$ </w:t>
      </w:r>
      <w:r>
        <w:rPr>
          <w:lang w:val="en-US"/>
        </w:rPr>
        <w:t>805</w:t>
      </w:r>
      <w:r w:rsidRPr="009A46A4">
        <w:rPr>
          <w:lang w:val="en-US"/>
        </w:rPr>
        <w:t xml:space="preserve"> million (€ </w:t>
      </w:r>
      <w:r>
        <w:rPr>
          <w:lang w:val="en-US"/>
        </w:rPr>
        <w:t>619</w:t>
      </w:r>
      <w:r w:rsidRPr="009A46A4">
        <w:rPr>
          <w:lang w:val="en-US"/>
        </w:rPr>
        <w:t xml:space="preserve"> million)</w:t>
      </w:r>
      <w:r>
        <w:rPr>
          <w:lang w:val="en-US"/>
        </w:rPr>
        <w:t>, consisting of an one-year revolving credit facility of US$ 537 million and a three-year revolving credit facility of US$ 268 million</w:t>
      </w:r>
      <w:r w:rsidRPr="009A46A4">
        <w:rPr>
          <w:lang w:val="en-US"/>
        </w:rPr>
        <w:t xml:space="preserve">. </w:t>
      </w:r>
      <w:r>
        <w:rPr>
          <w:lang w:val="en-US"/>
        </w:rPr>
        <w:t>The banking syndicate consisted of 24</w:t>
      </w:r>
      <w:r w:rsidRPr="009A46A4">
        <w:rPr>
          <w:lang w:val="en-US"/>
        </w:rPr>
        <w:t xml:space="preserve"> banks</w:t>
      </w:r>
      <w:r>
        <w:rPr>
          <w:lang w:val="en-US"/>
        </w:rPr>
        <w:t xml:space="preserve"> and was led by </w:t>
      </w:r>
      <w:r w:rsidR="00DA2B99">
        <w:rPr>
          <w:lang w:val="en-US"/>
        </w:rPr>
        <w:t>seven banks including Rabobank</w:t>
      </w:r>
      <w:r w:rsidRPr="009A46A4">
        <w:rPr>
          <w:lang w:val="en-US"/>
        </w:rPr>
        <w:t xml:space="preserve">. The facility was initiated </w:t>
      </w:r>
      <w:r w:rsidR="000446BF">
        <w:rPr>
          <w:lang w:val="en-US"/>
        </w:rPr>
        <w:t>for general corporate purposes</w:t>
      </w:r>
      <w:r w:rsidRPr="009A46A4">
        <w:rPr>
          <w:lang w:val="en-US"/>
        </w:rPr>
        <w:t>.</w:t>
      </w:r>
      <w:r>
        <w:rPr>
          <w:lang w:val="en-US"/>
        </w:rPr>
        <w:t xml:space="preserve"> </w:t>
      </w:r>
      <w:r w:rsidR="00DA2B99">
        <w:rPr>
          <w:lang w:val="en-US"/>
        </w:rPr>
        <w:t>Rabobank</w:t>
      </w:r>
      <w:r>
        <w:rPr>
          <w:lang w:val="en-US"/>
        </w:rPr>
        <w:t>’s share is estimated at U</w:t>
      </w:r>
      <w:r w:rsidRPr="009A46A4">
        <w:rPr>
          <w:lang w:val="en-US"/>
        </w:rPr>
        <w:t xml:space="preserve">S$ </w:t>
      </w:r>
      <w:r w:rsidR="00DA2B99">
        <w:rPr>
          <w:lang w:val="en-US"/>
        </w:rPr>
        <w:t>86</w:t>
      </w:r>
      <w:r w:rsidRPr="009A46A4">
        <w:rPr>
          <w:lang w:val="en-US"/>
        </w:rPr>
        <w:t xml:space="preserve"> million (€ </w:t>
      </w:r>
      <w:r w:rsidR="00DA2B99">
        <w:rPr>
          <w:lang w:val="en-US"/>
        </w:rPr>
        <w:t>66</w:t>
      </w:r>
      <w:r w:rsidRPr="009A46A4">
        <w:rPr>
          <w:lang w:val="en-US"/>
        </w:rPr>
        <w:t xml:space="preserve"> million).</w:t>
      </w:r>
      <w:r w:rsidRPr="00031898">
        <w:rPr>
          <w:rStyle w:val="EndnoteReference"/>
        </w:rPr>
        <w:endnoteReference w:id="68"/>
      </w:r>
    </w:p>
    <w:p w:rsidR="00782438" w:rsidRDefault="00782438" w:rsidP="009A061A">
      <w:pPr>
        <w:pStyle w:val="Opsomming3"/>
        <w:numPr>
          <w:ilvl w:val="0"/>
          <w:numId w:val="0"/>
        </w:numPr>
        <w:ind w:left="567"/>
        <w:rPr>
          <w:lang w:val="en-US"/>
        </w:rPr>
      </w:pPr>
    </w:p>
    <w:p w:rsidR="005E44ED" w:rsidRDefault="005E44ED" w:rsidP="009A061A">
      <w:pPr>
        <w:pStyle w:val="Opsomming3"/>
        <w:rPr>
          <w:lang w:val="en-US"/>
        </w:rPr>
      </w:pPr>
      <w:r>
        <w:rPr>
          <w:lang w:val="en-US"/>
        </w:rPr>
        <w:t xml:space="preserve">In May 2013 Rabobank </w:t>
      </w:r>
      <w:r w:rsidRPr="009A46A4">
        <w:rPr>
          <w:lang w:val="en-US"/>
        </w:rPr>
        <w:t xml:space="preserve">participated in a syndicated revolving credit facility for </w:t>
      </w:r>
      <w:r>
        <w:rPr>
          <w:lang w:val="en-US"/>
        </w:rPr>
        <w:t>Louis Dreyfus</w:t>
      </w:r>
      <w:r w:rsidRPr="009A46A4">
        <w:rPr>
          <w:lang w:val="en-US"/>
        </w:rPr>
        <w:t xml:space="preserve">. The total value of the facility was US$ </w:t>
      </w:r>
      <w:r>
        <w:rPr>
          <w:lang w:val="en-US"/>
        </w:rPr>
        <w:t>710</w:t>
      </w:r>
      <w:r w:rsidRPr="009A46A4">
        <w:rPr>
          <w:lang w:val="en-US"/>
        </w:rPr>
        <w:t xml:space="preserve"> million (€ </w:t>
      </w:r>
      <w:r>
        <w:rPr>
          <w:lang w:val="en-US"/>
        </w:rPr>
        <w:t>546</w:t>
      </w:r>
      <w:r w:rsidRPr="009A46A4">
        <w:rPr>
          <w:lang w:val="en-US"/>
        </w:rPr>
        <w:t xml:space="preserve"> million</w:t>
      </w:r>
      <w:r>
        <w:rPr>
          <w:lang w:val="en-US"/>
        </w:rPr>
        <w:t>)</w:t>
      </w:r>
      <w:r w:rsidRPr="009A46A4">
        <w:rPr>
          <w:lang w:val="en-US"/>
        </w:rPr>
        <w:t xml:space="preserve">. </w:t>
      </w:r>
      <w:r>
        <w:rPr>
          <w:lang w:val="en-US"/>
        </w:rPr>
        <w:t>The banking syndicate consisted of 15</w:t>
      </w:r>
      <w:r w:rsidRPr="009A46A4">
        <w:rPr>
          <w:lang w:val="en-US"/>
        </w:rPr>
        <w:t xml:space="preserve"> banks</w:t>
      </w:r>
      <w:r>
        <w:rPr>
          <w:lang w:val="en-US"/>
        </w:rPr>
        <w:t xml:space="preserve"> and was led by seven banks including Rabobank</w:t>
      </w:r>
      <w:r w:rsidRPr="009A46A4">
        <w:rPr>
          <w:lang w:val="en-US"/>
        </w:rPr>
        <w:t xml:space="preserve">. The facility was initiated </w:t>
      </w:r>
      <w:r>
        <w:rPr>
          <w:lang w:val="en-US"/>
        </w:rPr>
        <w:t>for general corporate purposes</w:t>
      </w:r>
      <w:r w:rsidRPr="009A46A4">
        <w:rPr>
          <w:lang w:val="en-US"/>
        </w:rPr>
        <w:t>.</w:t>
      </w:r>
      <w:r>
        <w:rPr>
          <w:lang w:val="en-US"/>
        </w:rPr>
        <w:t xml:space="preserve"> Rabobank’s share is estimated at U</w:t>
      </w:r>
      <w:r w:rsidRPr="009A46A4">
        <w:rPr>
          <w:lang w:val="en-US"/>
        </w:rPr>
        <w:t xml:space="preserve">S$ </w:t>
      </w:r>
      <w:r>
        <w:rPr>
          <w:lang w:val="en-US"/>
        </w:rPr>
        <w:t>76</w:t>
      </w:r>
      <w:r w:rsidRPr="009A46A4">
        <w:rPr>
          <w:lang w:val="en-US"/>
        </w:rPr>
        <w:t xml:space="preserve"> million (€ </w:t>
      </w:r>
      <w:r>
        <w:rPr>
          <w:lang w:val="en-US"/>
        </w:rPr>
        <w:t>59</w:t>
      </w:r>
      <w:r w:rsidRPr="009A46A4">
        <w:rPr>
          <w:lang w:val="en-US"/>
        </w:rPr>
        <w:t xml:space="preserve"> million).</w:t>
      </w:r>
      <w:r w:rsidRPr="00031898">
        <w:rPr>
          <w:rStyle w:val="EndnoteReference"/>
        </w:rPr>
        <w:endnoteReference w:id="69"/>
      </w:r>
    </w:p>
    <w:p w:rsidR="005E44ED" w:rsidRPr="00546F0A" w:rsidRDefault="005E44ED" w:rsidP="00415768">
      <w:pPr>
        <w:rPr>
          <w:lang w:val="en-US"/>
        </w:rPr>
      </w:pPr>
    </w:p>
    <w:p w:rsidR="00336601" w:rsidRPr="00BA208E" w:rsidRDefault="00336601" w:rsidP="009A061A">
      <w:pPr>
        <w:pStyle w:val="Opsomming1"/>
        <w:rPr>
          <w:lang w:val="en-US"/>
        </w:rPr>
      </w:pPr>
      <w:r w:rsidRPr="00BA208E">
        <w:rPr>
          <w:lang w:val="en-US"/>
        </w:rPr>
        <w:t>Olam International:</w:t>
      </w:r>
    </w:p>
    <w:p w:rsidR="00336601" w:rsidRDefault="00336601" w:rsidP="009A061A">
      <w:pPr>
        <w:pStyle w:val="Opsomming3"/>
        <w:rPr>
          <w:lang w:val="en-US"/>
        </w:rPr>
      </w:pPr>
      <w:r>
        <w:rPr>
          <w:lang w:val="en-US"/>
        </w:rPr>
        <w:t xml:space="preserve">In April 2011 Rabobank </w:t>
      </w:r>
      <w:r w:rsidRPr="009A46A4">
        <w:rPr>
          <w:lang w:val="en-US"/>
        </w:rPr>
        <w:t xml:space="preserve">participated in a syndicated </w:t>
      </w:r>
      <w:r>
        <w:rPr>
          <w:lang w:val="en-US"/>
        </w:rPr>
        <w:t>loan</w:t>
      </w:r>
      <w:r w:rsidRPr="009A46A4">
        <w:rPr>
          <w:lang w:val="en-US"/>
        </w:rPr>
        <w:t xml:space="preserve"> facility for </w:t>
      </w:r>
      <w:r>
        <w:rPr>
          <w:lang w:val="en-US"/>
        </w:rPr>
        <w:t>Olam International</w:t>
      </w:r>
      <w:r w:rsidRPr="009A46A4">
        <w:rPr>
          <w:lang w:val="en-US"/>
        </w:rPr>
        <w:t xml:space="preserve">. The total value of the facility was US$ </w:t>
      </w:r>
      <w:r>
        <w:rPr>
          <w:lang w:val="en-US"/>
        </w:rPr>
        <w:t>1,250</w:t>
      </w:r>
      <w:r w:rsidRPr="009A46A4">
        <w:rPr>
          <w:lang w:val="en-US"/>
        </w:rPr>
        <w:t xml:space="preserve"> million (€ </w:t>
      </w:r>
      <w:r>
        <w:rPr>
          <w:lang w:val="en-US"/>
        </w:rPr>
        <w:t>877</w:t>
      </w:r>
      <w:r w:rsidRPr="009A46A4">
        <w:rPr>
          <w:lang w:val="en-US"/>
        </w:rPr>
        <w:t xml:space="preserve"> million)</w:t>
      </w:r>
      <w:r>
        <w:rPr>
          <w:lang w:val="en-US"/>
        </w:rPr>
        <w:t>, consisting of an three-year loan of US$ 625 million and a five-year loan of US$ 625 million</w:t>
      </w:r>
      <w:r w:rsidRPr="009A46A4">
        <w:rPr>
          <w:lang w:val="en-US"/>
        </w:rPr>
        <w:t xml:space="preserve">. </w:t>
      </w:r>
      <w:r>
        <w:rPr>
          <w:lang w:val="en-US"/>
        </w:rPr>
        <w:t>The banking syndicate consisted of 32</w:t>
      </w:r>
      <w:r w:rsidRPr="009A46A4">
        <w:rPr>
          <w:lang w:val="en-US"/>
        </w:rPr>
        <w:t xml:space="preserve"> banks. The facility was initiated </w:t>
      </w:r>
      <w:r w:rsidR="000446BF">
        <w:rPr>
          <w:lang w:val="en-US"/>
        </w:rPr>
        <w:t>for general corporate purposes</w:t>
      </w:r>
      <w:r>
        <w:rPr>
          <w:lang w:val="en-US"/>
        </w:rPr>
        <w:t>, working capital and refinancing of bank debt</w:t>
      </w:r>
      <w:r w:rsidRPr="009A46A4">
        <w:rPr>
          <w:lang w:val="en-US"/>
        </w:rPr>
        <w:t>.</w:t>
      </w:r>
      <w:r>
        <w:rPr>
          <w:lang w:val="en-US"/>
        </w:rPr>
        <w:t xml:space="preserve"> Rabobank committed an amount of U</w:t>
      </w:r>
      <w:r w:rsidRPr="009A46A4">
        <w:rPr>
          <w:lang w:val="en-US"/>
        </w:rPr>
        <w:t xml:space="preserve">S$ </w:t>
      </w:r>
      <w:r>
        <w:rPr>
          <w:lang w:val="en-US"/>
        </w:rPr>
        <w:t>61.4</w:t>
      </w:r>
      <w:r w:rsidRPr="009A46A4">
        <w:rPr>
          <w:lang w:val="en-US"/>
        </w:rPr>
        <w:t xml:space="preserve"> million (€ </w:t>
      </w:r>
      <w:r>
        <w:rPr>
          <w:lang w:val="en-US"/>
        </w:rPr>
        <w:t>43</w:t>
      </w:r>
      <w:r w:rsidRPr="009A46A4">
        <w:rPr>
          <w:lang w:val="en-US"/>
        </w:rPr>
        <w:t xml:space="preserve"> million).</w:t>
      </w:r>
      <w:r w:rsidRPr="00031898">
        <w:rPr>
          <w:rStyle w:val="EndnoteReference"/>
        </w:rPr>
        <w:endnoteReference w:id="70"/>
      </w:r>
    </w:p>
    <w:p w:rsidR="00802773" w:rsidRDefault="00802773">
      <w:pPr>
        <w:keepLines w:val="0"/>
        <w:rPr>
          <w:lang w:val="en-US"/>
        </w:rPr>
      </w:pPr>
    </w:p>
    <w:p w:rsidR="00802773" w:rsidRDefault="00802773" w:rsidP="009A061A">
      <w:pPr>
        <w:pStyle w:val="Opsomming1"/>
        <w:rPr>
          <w:lang w:val="en-US"/>
        </w:rPr>
      </w:pPr>
      <w:r w:rsidRPr="00802773">
        <w:rPr>
          <w:lang w:val="en-US"/>
        </w:rPr>
        <w:t>Sucres &amp; Denrées:</w:t>
      </w:r>
    </w:p>
    <w:p w:rsidR="00CB18AB" w:rsidRPr="009A46A4" w:rsidRDefault="00CB18AB" w:rsidP="009A061A">
      <w:pPr>
        <w:pStyle w:val="Opsomming3"/>
        <w:rPr>
          <w:lang w:val="en-US"/>
        </w:rPr>
      </w:pPr>
      <w:r>
        <w:rPr>
          <w:lang w:val="en-US"/>
        </w:rPr>
        <w:t xml:space="preserve">In November 2010 Rabobank </w:t>
      </w:r>
      <w:r w:rsidRPr="009A46A4">
        <w:rPr>
          <w:lang w:val="en-US"/>
        </w:rPr>
        <w:t>participated in a syndicate</w:t>
      </w:r>
      <w:r>
        <w:rPr>
          <w:lang w:val="en-US"/>
        </w:rPr>
        <w:t xml:space="preserve">d revolving credit facility for </w:t>
      </w:r>
      <w:r w:rsidRPr="00802773">
        <w:rPr>
          <w:lang w:val="en-US"/>
        </w:rPr>
        <w:t>Sucres &amp; Denrées</w:t>
      </w:r>
      <w:r w:rsidRPr="009A46A4">
        <w:rPr>
          <w:lang w:val="en-US"/>
        </w:rPr>
        <w:t>. The total</w:t>
      </w:r>
      <w:r>
        <w:rPr>
          <w:lang w:val="en-US"/>
        </w:rPr>
        <w:t xml:space="preserve"> value of the facility was US$ 180 </w:t>
      </w:r>
      <w:r w:rsidRPr="009A46A4">
        <w:rPr>
          <w:lang w:val="en-US"/>
        </w:rPr>
        <w:t xml:space="preserve">million (€ </w:t>
      </w:r>
      <w:r>
        <w:rPr>
          <w:lang w:val="en-US"/>
        </w:rPr>
        <w:t>129</w:t>
      </w:r>
      <w:r w:rsidRPr="009A46A4">
        <w:rPr>
          <w:lang w:val="en-US"/>
        </w:rPr>
        <w:t xml:space="preserve"> million). </w:t>
      </w:r>
      <w:r>
        <w:rPr>
          <w:lang w:val="en-US"/>
        </w:rPr>
        <w:t>The banking syndicate consisted of 11</w:t>
      </w:r>
      <w:r w:rsidRPr="009A46A4">
        <w:rPr>
          <w:lang w:val="en-US"/>
        </w:rPr>
        <w:t xml:space="preserve"> banks</w:t>
      </w:r>
      <w:r>
        <w:rPr>
          <w:lang w:val="en-US"/>
        </w:rPr>
        <w:t xml:space="preserve"> and was led by five banks</w:t>
      </w:r>
      <w:r w:rsidRPr="009A46A4">
        <w:rPr>
          <w:lang w:val="en-US"/>
        </w:rPr>
        <w:t xml:space="preserve">. The maturity date </w:t>
      </w:r>
      <w:r>
        <w:rPr>
          <w:lang w:val="en-US"/>
        </w:rPr>
        <w:t>i</w:t>
      </w:r>
      <w:r w:rsidRPr="009A46A4">
        <w:rPr>
          <w:lang w:val="en-US"/>
        </w:rPr>
        <w:t xml:space="preserve">s in </w:t>
      </w:r>
      <w:r>
        <w:rPr>
          <w:lang w:val="en-US"/>
        </w:rPr>
        <w:t>March</w:t>
      </w:r>
      <w:r w:rsidRPr="009A46A4">
        <w:rPr>
          <w:lang w:val="en-US"/>
        </w:rPr>
        <w:t xml:space="preserve"> 201</w:t>
      </w:r>
      <w:r>
        <w:rPr>
          <w:lang w:val="en-US"/>
        </w:rPr>
        <w:t>2</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Rabobank committed an amount of U</w:t>
      </w:r>
      <w:r w:rsidRPr="009A46A4">
        <w:rPr>
          <w:lang w:val="en-US"/>
        </w:rPr>
        <w:t xml:space="preserve">S$ </w:t>
      </w:r>
      <w:r>
        <w:rPr>
          <w:lang w:val="en-US"/>
        </w:rPr>
        <w:t>10</w:t>
      </w:r>
      <w:r w:rsidRPr="009A46A4">
        <w:rPr>
          <w:lang w:val="en-US"/>
        </w:rPr>
        <w:t xml:space="preserve"> million (€ </w:t>
      </w:r>
      <w:r>
        <w:rPr>
          <w:lang w:val="en-US"/>
        </w:rPr>
        <w:t>7</w:t>
      </w:r>
      <w:r w:rsidRPr="009A46A4">
        <w:rPr>
          <w:lang w:val="en-US"/>
        </w:rPr>
        <w:t xml:space="preserve"> million).</w:t>
      </w:r>
      <w:r w:rsidRPr="00031898">
        <w:rPr>
          <w:rStyle w:val="EndnoteReference"/>
        </w:rPr>
        <w:endnoteReference w:id="71"/>
      </w:r>
    </w:p>
    <w:p w:rsidR="00CB18AB" w:rsidRPr="00802773" w:rsidRDefault="00CB18AB" w:rsidP="009A061A">
      <w:pPr>
        <w:pStyle w:val="Opsomming3"/>
        <w:numPr>
          <w:ilvl w:val="0"/>
          <w:numId w:val="0"/>
        </w:numPr>
        <w:ind w:left="567"/>
        <w:rPr>
          <w:b/>
          <w:lang w:val="en-US"/>
        </w:rPr>
      </w:pPr>
    </w:p>
    <w:p w:rsidR="00802773" w:rsidRDefault="00802773" w:rsidP="009A061A">
      <w:pPr>
        <w:pStyle w:val="Opsomming3"/>
        <w:rPr>
          <w:lang w:val="en-US"/>
        </w:rPr>
      </w:pPr>
      <w:r>
        <w:rPr>
          <w:lang w:val="en-US"/>
        </w:rPr>
        <w:t xml:space="preserve">In August 2011 Rabobank </w:t>
      </w:r>
      <w:r w:rsidRPr="009A46A4">
        <w:rPr>
          <w:lang w:val="en-US"/>
        </w:rPr>
        <w:t xml:space="preserve">participated in a syndicated revolving credit facility for </w:t>
      </w:r>
      <w:r>
        <w:rPr>
          <w:lang w:val="en-US"/>
        </w:rPr>
        <w:t xml:space="preserve">Sucden Americas, a subsidiary of </w:t>
      </w:r>
      <w:r w:rsidRPr="00802773">
        <w:rPr>
          <w:lang w:val="en-US"/>
        </w:rPr>
        <w:t>Sucres &amp; Denrées</w:t>
      </w:r>
      <w:r w:rsidRPr="009A46A4">
        <w:rPr>
          <w:lang w:val="en-US"/>
        </w:rPr>
        <w:t>. The total</w:t>
      </w:r>
      <w:r>
        <w:rPr>
          <w:lang w:val="en-US"/>
        </w:rPr>
        <w:t xml:space="preserve"> value of the facility was US$ 200 </w:t>
      </w:r>
      <w:r w:rsidRPr="009A46A4">
        <w:rPr>
          <w:lang w:val="en-US"/>
        </w:rPr>
        <w:t xml:space="preserve">million (€ </w:t>
      </w:r>
      <w:r>
        <w:rPr>
          <w:lang w:val="en-US"/>
        </w:rPr>
        <w:t>140</w:t>
      </w:r>
      <w:r w:rsidRPr="009A46A4">
        <w:rPr>
          <w:lang w:val="en-US"/>
        </w:rPr>
        <w:t xml:space="preserve"> million). </w:t>
      </w:r>
      <w:r>
        <w:rPr>
          <w:lang w:val="en-US"/>
        </w:rPr>
        <w:t xml:space="preserve">The banking syndicate consisted of </w:t>
      </w:r>
      <w:r w:rsidR="00B95F7C">
        <w:rPr>
          <w:lang w:val="en-US"/>
        </w:rPr>
        <w:t>nine</w:t>
      </w:r>
      <w:r w:rsidRPr="009A46A4">
        <w:rPr>
          <w:lang w:val="en-US"/>
        </w:rPr>
        <w:t xml:space="preserve"> banks</w:t>
      </w:r>
      <w:r>
        <w:rPr>
          <w:lang w:val="en-US"/>
        </w:rPr>
        <w:t xml:space="preserve"> and was led by </w:t>
      </w:r>
      <w:r w:rsidR="00582A5E">
        <w:rPr>
          <w:lang w:val="en-US"/>
        </w:rPr>
        <w:t>two</w:t>
      </w:r>
      <w:r>
        <w:rPr>
          <w:lang w:val="en-US"/>
        </w:rPr>
        <w:t xml:space="preserve"> banks</w:t>
      </w:r>
      <w:r w:rsidRPr="009A46A4">
        <w:rPr>
          <w:lang w:val="en-US"/>
        </w:rPr>
        <w:t xml:space="preserve">. The maturity date </w:t>
      </w:r>
      <w:r>
        <w:rPr>
          <w:lang w:val="en-US"/>
        </w:rPr>
        <w:t>i</w:t>
      </w:r>
      <w:r w:rsidRPr="009A46A4">
        <w:rPr>
          <w:lang w:val="en-US"/>
        </w:rPr>
        <w:t xml:space="preserve">s in </w:t>
      </w:r>
      <w:r>
        <w:rPr>
          <w:lang w:val="en-US"/>
        </w:rPr>
        <w:t>August</w:t>
      </w:r>
      <w:r w:rsidRPr="009A46A4">
        <w:rPr>
          <w:lang w:val="en-US"/>
        </w:rPr>
        <w:t xml:space="preserve"> 201</w:t>
      </w:r>
      <w:r>
        <w:rPr>
          <w:lang w:val="en-US"/>
        </w:rPr>
        <w:t>4</w:t>
      </w:r>
      <w:r w:rsidRPr="009A46A4">
        <w:rPr>
          <w:lang w:val="en-US"/>
        </w:rPr>
        <w:t xml:space="preserve">. The facility was initiated </w:t>
      </w:r>
      <w:r w:rsidR="000446BF">
        <w:rPr>
          <w:lang w:val="en-US"/>
        </w:rPr>
        <w:t>for general corporate purposes</w:t>
      </w:r>
      <w:r w:rsidRPr="009A46A4">
        <w:rPr>
          <w:lang w:val="en-US"/>
        </w:rPr>
        <w:t xml:space="preserve">. </w:t>
      </w:r>
      <w:r w:rsidR="00582A5E">
        <w:rPr>
          <w:lang w:val="en-US"/>
        </w:rPr>
        <w:t>Rabobank</w:t>
      </w:r>
      <w:r>
        <w:rPr>
          <w:lang w:val="en-US"/>
        </w:rPr>
        <w:t>’s share is estimated at U</w:t>
      </w:r>
      <w:r w:rsidRPr="009A46A4">
        <w:rPr>
          <w:lang w:val="en-US"/>
        </w:rPr>
        <w:t xml:space="preserve">S$ </w:t>
      </w:r>
      <w:r w:rsidR="004C72E6">
        <w:rPr>
          <w:lang w:val="en-US"/>
        </w:rPr>
        <w:t>10</w:t>
      </w:r>
      <w:r w:rsidRPr="009A46A4">
        <w:rPr>
          <w:lang w:val="en-US"/>
        </w:rPr>
        <w:t xml:space="preserve"> million (€ </w:t>
      </w:r>
      <w:r w:rsidR="004C72E6">
        <w:rPr>
          <w:lang w:val="en-US"/>
        </w:rPr>
        <w:t>7</w:t>
      </w:r>
      <w:r w:rsidRPr="009A46A4">
        <w:rPr>
          <w:lang w:val="en-US"/>
        </w:rPr>
        <w:t xml:space="preserve"> million).</w:t>
      </w:r>
      <w:r w:rsidRPr="00031898">
        <w:rPr>
          <w:rStyle w:val="EndnoteReference"/>
        </w:rPr>
        <w:endnoteReference w:id="72"/>
      </w:r>
    </w:p>
    <w:p w:rsidR="006104F0" w:rsidRPr="006104F0" w:rsidRDefault="006104F0" w:rsidP="009A061A">
      <w:pPr>
        <w:pStyle w:val="Opsomming3"/>
        <w:numPr>
          <w:ilvl w:val="0"/>
          <w:numId w:val="0"/>
        </w:numPr>
        <w:ind w:left="567"/>
        <w:rPr>
          <w:lang w:val="en-US"/>
        </w:rPr>
      </w:pPr>
    </w:p>
    <w:p w:rsidR="006104F0" w:rsidRPr="009A46A4" w:rsidRDefault="006104F0" w:rsidP="009A061A">
      <w:pPr>
        <w:pStyle w:val="Opsomming3"/>
        <w:rPr>
          <w:lang w:val="en-US"/>
        </w:rPr>
      </w:pPr>
      <w:r>
        <w:rPr>
          <w:lang w:val="en-US"/>
        </w:rPr>
        <w:t xml:space="preserve">In March 2012 Rabobank </w:t>
      </w:r>
      <w:r w:rsidRPr="009A46A4">
        <w:rPr>
          <w:lang w:val="en-US"/>
        </w:rPr>
        <w:t>participated in a syndicate</w:t>
      </w:r>
      <w:r>
        <w:rPr>
          <w:lang w:val="en-US"/>
        </w:rPr>
        <w:t xml:space="preserve">d revolving credit facility for </w:t>
      </w:r>
      <w:r w:rsidRPr="00802773">
        <w:rPr>
          <w:lang w:val="en-US"/>
        </w:rPr>
        <w:t>Sucres &amp; Denrées</w:t>
      </w:r>
      <w:r w:rsidRPr="009A46A4">
        <w:rPr>
          <w:lang w:val="en-US"/>
        </w:rPr>
        <w:t>. The total</w:t>
      </w:r>
      <w:r>
        <w:rPr>
          <w:lang w:val="en-US"/>
        </w:rPr>
        <w:t xml:space="preserve"> value of the facility was US$ 180 </w:t>
      </w:r>
      <w:r w:rsidRPr="009A46A4">
        <w:rPr>
          <w:lang w:val="en-US"/>
        </w:rPr>
        <w:t xml:space="preserve">million (€ </w:t>
      </w:r>
      <w:r>
        <w:rPr>
          <w:lang w:val="en-US"/>
        </w:rPr>
        <w:t>137</w:t>
      </w:r>
      <w:r w:rsidRPr="009A46A4">
        <w:rPr>
          <w:lang w:val="en-US"/>
        </w:rPr>
        <w:t xml:space="preserve"> million). </w:t>
      </w:r>
      <w:r>
        <w:rPr>
          <w:lang w:val="en-US"/>
        </w:rPr>
        <w:t>The banking syndicate consisted of 11</w:t>
      </w:r>
      <w:r w:rsidRPr="009A46A4">
        <w:rPr>
          <w:lang w:val="en-US"/>
        </w:rPr>
        <w:t xml:space="preserve"> banks. The maturity date </w:t>
      </w:r>
      <w:r>
        <w:rPr>
          <w:lang w:val="en-US"/>
        </w:rPr>
        <w:t>i</w:t>
      </w:r>
      <w:r w:rsidRPr="009A46A4">
        <w:rPr>
          <w:lang w:val="en-US"/>
        </w:rPr>
        <w:t xml:space="preserve">s in </w:t>
      </w:r>
      <w:r>
        <w:rPr>
          <w:lang w:val="en-US"/>
        </w:rPr>
        <w:t>March</w:t>
      </w:r>
      <w:r w:rsidRPr="009A46A4">
        <w:rPr>
          <w:lang w:val="en-US"/>
        </w:rPr>
        <w:t xml:space="preserve"> 201</w:t>
      </w:r>
      <w:r>
        <w:rPr>
          <w:lang w:val="en-US"/>
        </w:rPr>
        <w:t>3</w:t>
      </w:r>
      <w:r w:rsidRPr="009A46A4">
        <w:rPr>
          <w:lang w:val="en-US"/>
        </w:rPr>
        <w:t xml:space="preserve">. The facility was initiated </w:t>
      </w:r>
      <w:r>
        <w:rPr>
          <w:lang w:val="en-US"/>
        </w:rPr>
        <w:t>for general corporate purposes</w:t>
      </w:r>
      <w:r w:rsidRPr="009A46A4">
        <w:rPr>
          <w:lang w:val="en-US"/>
        </w:rPr>
        <w:t xml:space="preserve">. </w:t>
      </w:r>
      <w:r>
        <w:rPr>
          <w:lang w:val="en-US"/>
        </w:rPr>
        <w:t>Rabobank’s share is estimated at U</w:t>
      </w:r>
      <w:r w:rsidRPr="009A46A4">
        <w:rPr>
          <w:lang w:val="en-US"/>
        </w:rPr>
        <w:t xml:space="preserve">S$ </w:t>
      </w:r>
      <w:r>
        <w:rPr>
          <w:lang w:val="en-US"/>
        </w:rPr>
        <w:t>16</w:t>
      </w:r>
      <w:r w:rsidRPr="009A46A4">
        <w:rPr>
          <w:lang w:val="en-US"/>
        </w:rPr>
        <w:t xml:space="preserve"> million (€ </w:t>
      </w:r>
      <w:r>
        <w:rPr>
          <w:lang w:val="en-US"/>
        </w:rPr>
        <w:t>12</w:t>
      </w:r>
      <w:r w:rsidRPr="009A46A4">
        <w:rPr>
          <w:lang w:val="en-US"/>
        </w:rPr>
        <w:t xml:space="preserve"> million).</w:t>
      </w:r>
      <w:r w:rsidRPr="00031898">
        <w:rPr>
          <w:rStyle w:val="EndnoteReference"/>
        </w:rPr>
        <w:endnoteReference w:id="73"/>
      </w:r>
    </w:p>
    <w:p w:rsidR="006104F0" w:rsidRDefault="006104F0" w:rsidP="009A061A">
      <w:pPr>
        <w:pStyle w:val="Opsomming3"/>
        <w:numPr>
          <w:ilvl w:val="0"/>
          <w:numId w:val="0"/>
        </w:numPr>
        <w:ind w:left="567"/>
        <w:rPr>
          <w:lang w:val="en-US"/>
        </w:rPr>
      </w:pPr>
    </w:p>
    <w:p w:rsidR="006104F0" w:rsidRPr="009A46A4" w:rsidRDefault="006104F0" w:rsidP="009A061A">
      <w:pPr>
        <w:pStyle w:val="Opsomming3"/>
        <w:rPr>
          <w:lang w:val="en-US"/>
        </w:rPr>
      </w:pPr>
      <w:r>
        <w:rPr>
          <w:lang w:val="en-US"/>
        </w:rPr>
        <w:t xml:space="preserve">In February 2013 Rabobank </w:t>
      </w:r>
      <w:r w:rsidRPr="009A46A4">
        <w:rPr>
          <w:lang w:val="en-US"/>
        </w:rPr>
        <w:t>participated in a syndicate</w:t>
      </w:r>
      <w:r>
        <w:rPr>
          <w:lang w:val="en-US"/>
        </w:rPr>
        <w:t xml:space="preserve">d revolving credit facility for </w:t>
      </w:r>
      <w:r w:rsidRPr="00802773">
        <w:rPr>
          <w:lang w:val="en-US"/>
        </w:rPr>
        <w:t>Sucres &amp; Denrées</w:t>
      </w:r>
      <w:r w:rsidRPr="009A46A4">
        <w:rPr>
          <w:lang w:val="en-US"/>
        </w:rPr>
        <w:t>. The total</w:t>
      </w:r>
      <w:r>
        <w:rPr>
          <w:lang w:val="en-US"/>
        </w:rPr>
        <w:t xml:space="preserve"> value of the facility was US$ 210 </w:t>
      </w:r>
      <w:r w:rsidRPr="009A46A4">
        <w:rPr>
          <w:lang w:val="en-US"/>
        </w:rPr>
        <w:t xml:space="preserve">million (€ </w:t>
      </w:r>
      <w:r>
        <w:rPr>
          <w:lang w:val="en-US"/>
        </w:rPr>
        <w:t>159</w:t>
      </w:r>
      <w:r w:rsidRPr="009A46A4">
        <w:rPr>
          <w:lang w:val="en-US"/>
        </w:rPr>
        <w:t xml:space="preserve"> million). </w:t>
      </w:r>
      <w:r>
        <w:rPr>
          <w:lang w:val="en-US"/>
        </w:rPr>
        <w:t>The banking syndicate consisted of 11</w:t>
      </w:r>
      <w:r w:rsidRPr="009A46A4">
        <w:rPr>
          <w:lang w:val="en-US"/>
        </w:rPr>
        <w:t xml:space="preserve"> banks. The maturity date </w:t>
      </w:r>
      <w:r>
        <w:rPr>
          <w:lang w:val="en-US"/>
        </w:rPr>
        <w:t>i</w:t>
      </w:r>
      <w:r w:rsidRPr="009A46A4">
        <w:rPr>
          <w:lang w:val="en-US"/>
        </w:rPr>
        <w:t xml:space="preserve">s in </w:t>
      </w:r>
      <w:r>
        <w:rPr>
          <w:lang w:val="en-US"/>
        </w:rPr>
        <w:t>February</w:t>
      </w:r>
      <w:r w:rsidRPr="009A46A4">
        <w:rPr>
          <w:lang w:val="en-US"/>
        </w:rPr>
        <w:t xml:space="preserve"> 201</w:t>
      </w:r>
      <w:r>
        <w:rPr>
          <w:lang w:val="en-US"/>
        </w:rPr>
        <w:t>4</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Rabobank’s share is estimated at U</w:t>
      </w:r>
      <w:r w:rsidRPr="009A46A4">
        <w:rPr>
          <w:lang w:val="en-US"/>
        </w:rPr>
        <w:t xml:space="preserve">S$ </w:t>
      </w:r>
      <w:r>
        <w:rPr>
          <w:lang w:val="en-US"/>
        </w:rPr>
        <w:t>19</w:t>
      </w:r>
      <w:r w:rsidRPr="009A46A4">
        <w:rPr>
          <w:lang w:val="en-US"/>
        </w:rPr>
        <w:t xml:space="preserve"> million (€ </w:t>
      </w:r>
      <w:r>
        <w:rPr>
          <w:lang w:val="en-US"/>
        </w:rPr>
        <w:t>14</w:t>
      </w:r>
      <w:r w:rsidRPr="009A46A4">
        <w:rPr>
          <w:lang w:val="en-US"/>
        </w:rPr>
        <w:t xml:space="preserve"> million).</w:t>
      </w:r>
      <w:r w:rsidRPr="00031898">
        <w:rPr>
          <w:rStyle w:val="EndnoteReference"/>
        </w:rPr>
        <w:endnoteReference w:id="74"/>
      </w:r>
    </w:p>
    <w:p w:rsidR="006104F0" w:rsidRDefault="006104F0" w:rsidP="006104F0">
      <w:pPr>
        <w:pStyle w:val="ListParagraph"/>
        <w:rPr>
          <w:lang w:val="en-US"/>
        </w:rPr>
      </w:pPr>
    </w:p>
    <w:p w:rsidR="006104F0" w:rsidRPr="006104F0" w:rsidRDefault="006104F0" w:rsidP="009A061A">
      <w:pPr>
        <w:pStyle w:val="Opsomming1"/>
        <w:rPr>
          <w:lang w:val="en-US"/>
        </w:rPr>
      </w:pPr>
      <w:r w:rsidRPr="006104F0">
        <w:rPr>
          <w:lang w:val="en-US"/>
        </w:rPr>
        <w:t>Tate &amp; Lyle:</w:t>
      </w:r>
    </w:p>
    <w:p w:rsidR="006104F0" w:rsidRPr="009A46A4" w:rsidRDefault="006104F0" w:rsidP="009A061A">
      <w:pPr>
        <w:pStyle w:val="Opsomming3"/>
        <w:rPr>
          <w:lang w:val="en-US"/>
        </w:rPr>
      </w:pPr>
      <w:r>
        <w:rPr>
          <w:lang w:val="en-US"/>
        </w:rPr>
        <w:t xml:space="preserve">In July 2011 Rabobank </w:t>
      </w:r>
      <w:r w:rsidRPr="009A46A4">
        <w:rPr>
          <w:lang w:val="en-US"/>
        </w:rPr>
        <w:t>participated in a syndicate</w:t>
      </w:r>
      <w:r>
        <w:rPr>
          <w:lang w:val="en-US"/>
        </w:rPr>
        <w:t>d revolving credit facility for Tate &amp; Lyle</w:t>
      </w:r>
      <w:r w:rsidRPr="009A46A4">
        <w:rPr>
          <w:lang w:val="en-US"/>
        </w:rPr>
        <w:t>. The total</w:t>
      </w:r>
      <w:r>
        <w:rPr>
          <w:lang w:val="en-US"/>
        </w:rPr>
        <w:t xml:space="preserve"> value of the facility was US$ 800 </w:t>
      </w:r>
      <w:r w:rsidRPr="009A46A4">
        <w:rPr>
          <w:lang w:val="en-US"/>
        </w:rPr>
        <w:t xml:space="preserve">million (€ </w:t>
      </w:r>
      <w:r>
        <w:rPr>
          <w:lang w:val="en-US"/>
        </w:rPr>
        <w:t>572</w:t>
      </w:r>
      <w:r w:rsidRPr="009A46A4">
        <w:rPr>
          <w:lang w:val="en-US"/>
        </w:rPr>
        <w:t xml:space="preserve"> million). </w:t>
      </w:r>
      <w:r>
        <w:rPr>
          <w:lang w:val="en-US"/>
        </w:rPr>
        <w:t>The banking syndicate consisted of nine</w:t>
      </w:r>
      <w:r w:rsidRPr="009A46A4">
        <w:rPr>
          <w:lang w:val="en-US"/>
        </w:rPr>
        <w:t xml:space="preserve"> banks. The maturity date </w:t>
      </w:r>
      <w:r>
        <w:rPr>
          <w:lang w:val="en-US"/>
        </w:rPr>
        <w:t>i</w:t>
      </w:r>
      <w:r w:rsidRPr="009A46A4">
        <w:rPr>
          <w:lang w:val="en-US"/>
        </w:rPr>
        <w:t xml:space="preserve">s in </w:t>
      </w:r>
      <w:r>
        <w:rPr>
          <w:lang w:val="en-US"/>
        </w:rPr>
        <w:t>July</w:t>
      </w:r>
      <w:r w:rsidRPr="009A46A4">
        <w:rPr>
          <w:lang w:val="en-US"/>
        </w:rPr>
        <w:t xml:space="preserve"> 201</w:t>
      </w:r>
      <w:r>
        <w:rPr>
          <w:lang w:val="en-US"/>
        </w:rPr>
        <w:t>6</w:t>
      </w:r>
      <w:r w:rsidRPr="009A46A4">
        <w:rPr>
          <w:lang w:val="en-US"/>
        </w:rPr>
        <w:t xml:space="preserve">. The facility was initiated </w:t>
      </w:r>
      <w:r>
        <w:rPr>
          <w:lang w:val="en-US"/>
        </w:rPr>
        <w:t>for general corporate purposes and refinancing of bank debt</w:t>
      </w:r>
      <w:r w:rsidRPr="009A46A4">
        <w:rPr>
          <w:lang w:val="en-US"/>
        </w:rPr>
        <w:t xml:space="preserve">. </w:t>
      </w:r>
      <w:r>
        <w:rPr>
          <w:lang w:val="en-US"/>
        </w:rPr>
        <w:t>Rabobank’s share is estimated at U</w:t>
      </w:r>
      <w:r w:rsidRPr="009A46A4">
        <w:rPr>
          <w:lang w:val="en-US"/>
        </w:rPr>
        <w:t xml:space="preserve">S$ </w:t>
      </w:r>
      <w:r>
        <w:rPr>
          <w:lang w:val="en-US"/>
        </w:rPr>
        <w:t>89</w:t>
      </w:r>
      <w:r w:rsidRPr="009A46A4">
        <w:rPr>
          <w:lang w:val="en-US"/>
        </w:rPr>
        <w:t xml:space="preserve"> million (€ </w:t>
      </w:r>
      <w:r>
        <w:rPr>
          <w:lang w:val="en-US"/>
        </w:rPr>
        <w:t>64</w:t>
      </w:r>
      <w:r w:rsidRPr="009A46A4">
        <w:rPr>
          <w:lang w:val="en-US"/>
        </w:rPr>
        <w:t xml:space="preserve"> million).</w:t>
      </w:r>
      <w:r w:rsidRPr="00031898">
        <w:rPr>
          <w:rStyle w:val="EndnoteReference"/>
        </w:rPr>
        <w:endnoteReference w:id="75"/>
      </w:r>
    </w:p>
    <w:p w:rsidR="006104F0" w:rsidRDefault="006104F0" w:rsidP="006104F0">
      <w:pPr>
        <w:pStyle w:val="ListParagraph"/>
        <w:rPr>
          <w:lang w:val="en-US"/>
        </w:rPr>
      </w:pPr>
    </w:p>
    <w:p w:rsidR="000C17AD" w:rsidRPr="006104F0" w:rsidRDefault="000C17AD" w:rsidP="009A061A">
      <w:pPr>
        <w:pStyle w:val="Opsomming1"/>
        <w:rPr>
          <w:lang w:val="en-US"/>
        </w:rPr>
      </w:pPr>
      <w:r>
        <w:rPr>
          <w:lang w:val="en-US"/>
        </w:rPr>
        <w:t>Wilmar International</w:t>
      </w:r>
      <w:r w:rsidRPr="006104F0">
        <w:rPr>
          <w:lang w:val="en-US"/>
        </w:rPr>
        <w:t>:</w:t>
      </w:r>
    </w:p>
    <w:p w:rsidR="000C17AD" w:rsidRDefault="000C17AD" w:rsidP="009A061A">
      <w:pPr>
        <w:pStyle w:val="Opsomming3"/>
        <w:rPr>
          <w:lang w:val="en-US"/>
        </w:rPr>
      </w:pPr>
      <w:r>
        <w:rPr>
          <w:lang w:val="en-US"/>
        </w:rPr>
        <w:t xml:space="preserve">In July 2010 Rabobank </w:t>
      </w:r>
      <w:r w:rsidRPr="009A46A4">
        <w:rPr>
          <w:lang w:val="en-US"/>
        </w:rPr>
        <w:t>participated in a syndicate</w:t>
      </w:r>
      <w:r>
        <w:rPr>
          <w:lang w:val="en-US"/>
        </w:rPr>
        <w:t>d working capital facility for Wilmar International</w:t>
      </w:r>
      <w:r w:rsidRPr="009A46A4">
        <w:rPr>
          <w:lang w:val="en-US"/>
        </w:rPr>
        <w:t>. The total</w:t>
      </w:r>
      <w:r>
        <w:rPr>
          <w:lang w:val="en-US"/>
        </w:rPr>
        <w:t xml:space="preserve"> value of the facility was US$ 1,907 </w:t>
      </w:r>
      <w:r w:rsidRPr="009A46A4">
        <w:rPr>
          <w:lang w:val="en-US"/>
        </w:rPr>
        <w:t xml:space="preserve">million (€ </w:t>
      </w:r>
      <w:r>
        <w:rPr>
          <w:lang w:val="en-US"/>
        </w:rPr>
        <w:t>1,359</w:t>
      </w:r>
      <w:r w:rsidRPr="009A46A4">
        <w:rPr>
          <w:lang w:val="en-US"/>
        </w:rPr>
        <w:t xml:space="preserve"> million).</w:t>
      </w:r>
      <w:r>
        <w:rPr>
          <w:lang w:val="en-US"/>
        </w:rPr>
        <w:t xml:space="preserve"> The facility was split into six tranches:</w:t>
      </w:r>
    </w:p>
    <w:p w:rsidR="000C17AD" w:rsidRDefault="000C17AD" w:rsidP="009A061A">
      <w:pPr>
        <w:pStyle w:val="Opsomming4"/>
        <w:rPr>
          <w:lang w:val="en-US"/>
        </w:rPr>
      </w:pPr>
      <w:r>
        <w:rPr>
          <w:lang w:val="en-US"/>
        </w:rPr>
        <w:t xml:space="preserve">a one-year US$ </w:t>
      </w:r>
      <w:r w:rsidR="00F9089D">
        <w:rPr>
          <w:lang w:val="en-US"/>
        </w:rPr>
        <w:t>300</w:t>
      </w:r>
      <w:r>
        <w:rPr>
          <w:lang w:val="en-US"/>
        </w:rPr>
        <w:t xml:space="preserve"> million term loan;</w:t>
      </w:r>
    </w:p>
    <w:p w:rsidR="000C17AD" w:rsidRDefault="000C17AD" w:rsidP="009A061A">
      <w:pPr>
        <w:pStyle w:val="Opsomming4"/>
        <w:rPr>
          <w:lang w:val="en-US"/>
        </w:rPr>
      </w:pPr>
      <w:r>
        <w:rPr>
          <w:lang w:val="en-US"/>
        </w:rPr>
        <w:t xml:space="preserve">a two-year US$ </w:t>
      </w:r>
      <w:r w:rsidR="00F9089D">
        <w:rPr>
          <w:lang w:val="en-US"/>
        </w:rPr>
        <w:t>400</w:t>
      </w:r>
      <w:r>
        <w:rPr>
          <w:lang w:val="en-US"/>
        </w:rPr>
        <w:t xml:space="preserve"> million term loan;</w:t>
      </w:r>
    </w:p>
    <w:p w:rsidR="000C17AD" w:rsidRDefault="000C17AD" w:rsidP="009A061A">
      <w:pPr>
        <w:pStyle w:val="Opsomming4"/>
        <w:rPr>
          <w:lang w:val="en-US"/>
        </w:rPr>
      </w:pPr>
      <w:r>
        <w:rPr>
          <w:lang w:val="en-US"/>
        </w:rPr>
        <w:t xml:space="preserve">a three-year US$ </w:t>
      </w:r>
      <w:r w:rsidR="00F9089D">
        <w:rPr>
          <w:lang w:val="en-US"/>
        </w:rPr>
        <w:t>400</w:t>
      </w:r>
      <w:r>
        <w:rPr>
          <w:lang w:val="en-US"/>
        </w:rPr>
        <w:t xml:space="preserve"> million term loan;</w:t>
      </w:r>
    </w:p>
    <w:p w:rsidR="00F9089D" w:rsidRDefault="00F9089D" w:rsidP="009A061A">
      <w:pPr>
        <w:pStyle w:val="Opsomming4"/>
        <w:rPr>
          <w:lang w:val="en-US"/>
        </w:rPr>
      </w:pPr>
      <w:r>
        <w:rPr>
          <w:lang w:val="en-US"/>
        </w:rPr>
        <w:t>a five-year US$ 200 million term loan;</w:t>
      </w:r>
    </w:p>
    <w:p w:rsidR="00F9089D" w:rsidRDefault="00F9089D" w:rsidP="009A061A">
      <w:pPr>
        <w:pStyle w:val="Opsomming4"/>
        <w:rPr>
          <w:lang w:val="en-US"/>
        </w:rPr>
      </w:pPr>
      <w:r>
        <w:rPr>
          <w:lang w:val="en-US"/>
        </w:rPr>
        <w:t>a one-year US$ 202 million working capital facility;</w:t>
      </w:r>
    </w:p>
    <w:p w:rsidR="00F9089D" w:rsidRDefault="00F9089D" w:rsidP="009A061A">
      <w:pPr>
        <w:pStyle w:val="Opsomming4"/>
        <w:rPr>
          <w:lang w:val="en-US"/>
        </w:rPr>
      </w:pPr>
      <w:r>
        <w:rPr>
          <w:lang w:val="en-US"/>
        </w:rPr>
        <w:t>a two-year US$ 202 million working capital facility;</w:t>
      </w:r>
    </w:p>
    <w:p w:rsidR="00F9089D" w:rsidRPr="00F9089D" w:rsidRDefault="00F9089D" w:rsidP="009A061A">
      <w:pPr>
        <w:pStyle w:val="Opsomming4"/>
        <w:rPr>
          <w:lang w:val="en-US"/>
        </w:rPr>
      </w:pPr>
      <w:r>
        <w:rPr>
          <w:lang w:val="en-US"/>
        </w:rPr>
        <w:t>a three-year US$ 202 million working capital facility.</w:t>
      </w:r>
    </w:p>
    <w:p w:rsidR="000C17AD" w:rsidRPr="000C17AD" w:rsidRDefault="000C17AD" w:rsidP="000C17AD">
      <w:pPr>
        <w:ind w:left="720"/>
        <w:rPr>
          <w:lang w:val="en-US"/>
        </w:rPr>
      </w:pPr>
      <w:r w:rsidRPr="000C17AD">
        <w:rPr>
          <w:lang w:val="en-US"/>
        </w:rPr>
        <w:lastRenderedPageBreak/>
        <w:t xml:space="preserve">The banking syndicate consisted of </w:t>
      </w:r>
      <w:r w:rsidR="006516E3">
        <w:rPr>
          <w:lang w:val="en-US"/>
        </w:rPr>
        <w:t>12</w:t>
      </w:r>
      <w:r w:rsidRPr="000C17AD">
        <w:rPr>
          <w:lang w:val="en-US"/>
        </w:rPr>
        <w:t xml:space="preserve"> banks</w:t>
      </w:r>
      <w:r w:rsidR="00523471">
        <w:rPr>
          <w:lang w:val="en-US"/>
        </w:rPr>
        <w:t xml:space="preserve"> and was led by two banks</w:t>
      </w:r>
      <w:r w:rsidRPr="000C17AD">
        <w:rPr>
          <w:lang w:val="en-US"/>
        </w:rPr>
        <w:t xml:space="preserve">. The facility was initiated </w:t>
      </w:r>
      <w:r w:rsidR="006516E3">
        <w:rPr>
          <w:lang w:val="en-US"/>
        </w:rPr>
        <w:t>to finance the US$ 1,500 million acquisition of Sucrogen (Australia)</w:t>
      </w:r>
      <w:r w:rsidRPr="000C17AD">
        <w:rPr>
          <w:lang w:val="en-US"/>
        </w:rPr>
        <w:t xml:space="preserve">. Rabobank’s share is estimated at US$ </w:t>
      </w:r>
      <w:r w:rsidR="00523471">
        <w:rPr>
          <w:lang w:val="en-US"/>
        </w:rPr>
        <w:t>115</w:t>
      </w:r>
      <w:r w:rsidRPr="000C17AD">
        <w:rPr>
          <w:lang w:val="en-US"/>
        </w:rPr>
        <w:t xml:space="preserve"> million (€ </w:t>
      </w:r>
      <w:r w:rsidR="00523471">
        <w:rPr>
          <w:lang w:val="en-US"/>
        </w:rPr>
        <w:t>82</w:t>
      </w:r>
      <w:r w:rsidRPr="000C17AD">
        <w:rPr>
          <w:lang w:val="en-US"/>
        </w:rPr>
        <w:t xml:space="preserve"> million).</w:t>
      </w:r>
      <w:r w:rsidRPr="00031898">
        <w:rPr>
          <w:rStyle w:val="EndnoteReference"/>
        </w:rPr>
        <w:endnoteReference w:id="76"/>
      </w:r>
    </w:p>
    <w:p w:rsidR="000C17AD" w:rsidRDefault="000C17AD" w:rsidP="006104F0">
      <w:pPr>
        <w:pStyle w:val="ListParagraph"/>
        <w:rPr>
          <w:lang w:val="en-US"/>
        </w:rPr>
      </w:pPr>
    </w:p>
    <w:p w:rsidR="00523471" w:rsidRPr="009A46A4" w:rsidRDefault="00523471" w:rsidP="009A061A">
      <w:pPr>
        <w:pStyle w:val="Opsomming3"/>
        <w:rPr>
          <w:lang w:val="en-US"/>
        </w:rPr>
      </w:pPr>
      <w:r>
        <w:rPr>
          <w:lang w:val="en-US"/>
        </w:rPr>
        <w:t xml:space="preserve">In October 2011 Rabobank </w:t>
      </w:r>
      <w:r w:rsidRPr="009A46A4">
        <w:rPr>
          <w:lang w:val="en-US"/>
        </w:rPr>
        <w:t>participated in a syndicate</w:t>
      </w:r>
      <w:r>
        <w:rPr>
          <w:lang w:val="en-US"/>
        </w:rPr>
        <w:t>d revolving credit facility for Wilmar International</w:t>
      </w:r>
      <w:r w:rsidRPr="009A46A4">
        <w:rPr>
          <w:lang w:val="en-US"/>
        </w:rPr>
        <w:t>. The total</w:t>
      </w:r>
      <w:r>
        <w:rPr>
          <w:lang w:val="en-US"/>
        </w:rPr>
        <w:t xml:space="preserve"> value of the facility was US$ 500 </w:t>
      </w:r>
      <w:r w:rsidRPr="009A46A4">
        <w:rPr>
          <w:lang w:val="en-US"/>
        </w:rPr>
        <w:t xml:space="preserve">million (€ </w:t>
      </w:r>
      <w:r>
        <w:rPr>
          <w:lang w:val="en-US"/>
        </w:rPr>
        <w:t>353</w:t>
      </w:r>
      <w:r w:rsidRPr="009A46A4">
        <w:rPr>
          <w:lang w:val="en-US"/>
        </w:rPr>
        <w:t xml:space="preserve"> million). </w:t>
      </w:r>
      <w:r>
        <w:rPr>
          <w:lang w:val="en-US"/>
        </w:rPr>
        <w:t>The banking syndicate consisted of 12</w:t>
      </w:r>
      <w:r w:rsidRPr="009A46A4">
        <w:rPr>
          <w:lang w:val="en-US"/>
        </w:rPr>
        <w:t xml:space="preserve"> banks</w:t>
      </w:r>
      <w:r w:rsidR="00D44AF8">
        <w:rPr>
          <w:lang w:val="en-US"/>
        </w:rPr>
        <w:t xml:space="preserve"> and led by one bank</w:t>
      </w:r>
      <w:r w:rsidRPr="009A46A4">
        <w:rPr>
          <w:lang w:val="en-US"/>
        </w:rPr>
        <w:t xml:space="preserve">. The maturity date </w:t>
      </w:r>
      <w:r w:rsidR="00584F38">
        <w:rPr>
          <w:lang w:val="en-US"/>
        </w:rPr>
        <w:t>wa</w:t>
      </w:r>
      <w:r w:rsidRPr="009A46A4">
        <w:rPr>
          <w:lang w:val="en-US"/>
        </w:rPr>
        <w:t xml:space="preserve">s in </w:t>
      </w:r>
      <w:r>
        <w:rPr>
          <w:lang w:val="en-US"/>
        </w:rPr>
        <w:t>November</w:t>
      </w:r>
      <w:r w:rsidRPr="009A46A4">
        <w:rPr>
          <w:lang w:val="en-US"/>
        </w:rPr>
        <w:t xml:space="preserve"> 201</w:t>
      </w:r>
      <w:r>
        <w:rPr>
          <w:lang w:val="en-US"/>
        </w:rPr>
        <w:t>2</w:t>
      </w:r>
      <w:r w:rsidRPr="009A46A4">
        <w:rPr>
          <w:lang w:val="en-US"/>
        </w:rPr>
        <w:t xml:space="preserve">. The facility was initiated </w:t>
      </w:r>
      <w:r>
        <w:rPr>
          <w:lang w:val="en-US"/>
        </w:rPr>
        <w:t>as an amendment to the US$ 300 million facility of 2010. It was also used to refinance part of the loan to Sucrogen</w:t>
      </w:r>
      <w:r w:rsidRPr="009A46A4">
        <w:rPr>
          <w:lang w:val="en-US"/>
        </w:rPr>
        <w:t xml:space="preserve">. </w:t>
      </w:r>
      <w:r>
        <w:rPr>
          <w:lang w:val="en-US"/>
        </w:rPr>
        <w:t>Rabobank’s share is estimated at U</w:t>
      </w:r>
      <w:r w:rsidRPr="009A46A4">
        <w:rPr>
          <w:lang w:val="en-US"/>
        </w:rPr>
        <w:t xml:space="preserve">S$ </w:t>
      </w:r>
      <w:r w:rsidR="00D44AF8">
        <w:rPr>
          <w:lang w:val="en-US"/>
        </w:rPr>
        <w:t>36</w:t>
      </w:r>
      <w:r w:rsidRPr="009A46A4">
        <w:rPr>
          <w:lang w:val="en-US"/>
        </w:rPr>
        <w:t xml:space="preserve"> million (€ </w:t>
      </w:r>
      <w:r w:rsidR="00D44AF8">
        <w:rPr>
          <w:lang w:val="en-US"/>
        </w:rPr>
        <w:t>26</w:t>
      </w:r>
      <w:r w:rsidRPr="009A46A4">
        <w:rPr>
          <w:lang w:val="en-US"/>
        </w:rPr>
        <w:t xml:space="preserve"> million).</w:t>
      </w:r>
      <w:r w:rsidRPr="00031898">
        <w:rPr>
          <w:rStyle w:val="EndnoteReference"/>
        </w:rPr>
        <w:endnoteReference w:id="77"/>
      </w:r>
    </w:p>
    <w:p w:rsidR="00523471" w:rsidRDefault="00523471" w:rsidP="009A061A">
      <w:pPr>
        <w:pStyle w:val="Opsomming3"/>
        <w:numPr>
          <w:ilvl w:val="0"/>
          <w:numId w:val="0"/>
        </w:numPr>
        <w:ind w:left="567"/>
        <w:rPr>
          <w:lang w:val="en-US"/>
        </w:rPr>
      </w:pPr>
    </w:p>
    <w:p w:rsidR="00C42C19" w:rsidRPr="009A46A4" w:rsidRDefault="00C42C19" w:rsidP="009A061A">
      <w:pPr>
        <w:pStyle w:val="Opsomming3"/>
        <w:rPr>
          <w:lang w:val="en-US"/>
        </w:rPr>
      </w:pPr>
      <w:r>
        <w:rPr>
          <w:lang w:val="en-US"/>
        </w:rPr>
        <w:t xml:space="preserve">In October 2012 Rabobank </w:t>
      </w:r>
      <w:r w:rsidRPr="009A46A4">
        <w:rPr>
          <w:lang w:val="en-US"/>
        </w:rPr>
        <w:t>participated in a syndicate</w:t>
      </w:r>
      <w:r>
        <w:rPr>
          <w:lang w:val="en-US"/>
        </w:rPr>
        <w:t xml:space="preserve">d revolving credit facility for </w:t>
      </w:r>
      <w:r w:rsidR="00584F38" w:rsidRPr="00584F38">
        <w:rPr>
          <w:lang w:val="en-US"/>
        </w:rPr>
        <w:t>Wealth Anchor, a wholly-owned subsidiary of Wilmar International (called Wilmar Sugar Holdings</w:t>
      </w:r>
      <w:r w:rsidR="00584F38">
        <w:rPr>
          <w:lang w:val="en-US"/>
        </w:rPr>
        <w:t xml:space="preserve"> Pte (WSH) as of January 2013).</w:t>
      </w:r>
      <w:r w:rsidRPr="009A46A4">
        <w:rPr>
          <w:lang w:val="en-US"/>
        </w:rPr>
        <w:t xml:space="preserve"> The total</w:t>
      </w:r>
      <w:r>
        <w:rPr>
          <w:lang w:val="en-US"/>
        </w:rPr>
        <w:t xml:space="preserve"> value of the facility was US$ 837 </w:t>
      </w:r>
      <w:r w:rsidRPr="009A46A4">
        <w:rPr>
          <w:lang w:val="en-US"/>
        </w:rPr>
        <w:t xml:space="preserve">million (€ </w:t>
      </w:r>
      <w:r w:rsidR="00516193">
        <w:rPr>
          <w:lang w:val="en-US"/>
        </w:rPr>
        <w:t>650</w:t>
      </w:r>
      <w:r w:rsidRPr="009A46A4">
        <w:rPr>
          <w:lang w:val="en-US"/>
        </w:rPr>
        <w:t xml:space="preserve"> million)</w:t>
      </w:r>
      <w:r>
        <w:rPr>
          <w:lang w:val="en-US"/>
        </w:rPr>
        <w:t>, consisting of a US$ 632 million term loan and an A$ 200 million revolving credit facility</w:t>
      </w:r>
      <w:r w:rsidRPr="009A46A4">
        <w:rPr>
          <w:lang w:val="en-US"/>
        </w:rPr>
        <w:t xml:space="preserve">. </w:t>
      </w:r>
      <w:r>
        <w:rPr>
          <w:lang w:val="en-US"/>
        </w:rPr>
        <w:t>The banking syndicate consisted of 11</w:t>
      </w:r>
      <w:r w:rsidRPr="009A46A4">
        <w:rPr>
          <w:lang w:val="en-US"/>
        </w:rPr>
        <w:t xml:space="preserve"> banks</w:t>
      </w:r>
      <w:r>
        <w:rPr>
          <w:lang w:val="en-US"/>
        </w:rPr>
        <w:t xml:space="preserve"> for the term loan and eight banks for the revolving credit facility</w:t>
      </w:r>
      <w:r w:rsidR="00584F38">
        <w:rPr>
          <w:lang w:val="en-US"/>
        </w:rPr>
        <w:t xml:space="preserve"> and was led by one bank</w:t>
      </w:r>
      <w:r w:rsidRPr="009A46A4">
        <w:rPr>
          <w:lang w:val="en-US"/>
        </w:rPr>
        <w:t xml:space="preserve">. The maturity date </w:t>
      </w:r>
      <w:r>
        <w:rPr>
          <w:lang w:val="en-US"/>
        </w:rPr>
        <w:t>i</w:t>
      </w:r>
      <w:r w:rsidRPr="009A46A4">
        <w:rPr>
          <w:lang w:val="en-US"/>
        </w:rPr>
        <w:t xml:space="preserve">s in </w:t>
      </w:r>
      <w:r w:rsidR="00584F38">
        <w:rPr>
          <w:lang w:val="en-US"/>
        </w:rPr>
        <w:t>October</w:t>
      </w:r>
      <w:r w:rsidRPr="009A46A4">
        <w:rPr>
          <w:lang w:val="en-US"/>
        </w:rPr>
        <w:t xml:space="preserve"> 201</w:t>
      </w:r>
      <w:r w:rsidR="00584F38">
        <w:rPr>
          <w:lang w:val="en-US"/>
        </w:rPr>
        <w:t>3</w:t>
      </w:r>
      <w:r w:rsidRPr="009A46A4">
        <w:rPr>
          <w:lang w:val="en-US"/>
        </w:rPr>
        <w:t xml:space="preserve">. The facility was initiated </w:t>
      </w:r>
      <w:r>
        <w:rPr>
          <w:lang w:val="en-US"/>
        </w:rPr>
        <w:t>as</w:t>
      </w:r>
      <w:r w:rsidR="00584F38">
        <w:rPr>
          <w:lang w:val="en-US"/>
        </w:rPr>
        <w:t xml:space="preserve"> an</w:t>
      </w:r>
      <w:r>
        <w:rPr>
          <w:lang w:val="en-US"/>
        </w:rPr>
        <w:t xml:space="preserve"> </w:t>
      </w:r>
      <w:r w:rsidR="00584F38" w:rsidRPr="00D0696A">
        <w:t>extension of several tranches of the existing facility from November 2010 in connection with the acquisition of Sucrogen</w:t>
      </w:r>
      <w:r w:rsidR="00584F38">
        <w:t xml:space="preserve">. </w:t>
      </w:r>
      <w:r>
        <w:rPr>
          <w:lang w:val="en-US"/>
        </w:rPr>
        <w:t>Rabobank’s share is estimated at U</w:t>
      </w:r>
      <w:r w:rsidRPr="009A46A4">
        <w:rPr>
          <w:lang w:val="en-US"/>
        </w:rPr>
        <w:t xml:space="preserve">S$ </w:t>
      </w:r>
      <w:r w:rsidR="00584F38">
        <w:rPr>
          <w:lang w:val="en-US"/>
        </w:rPr>
        <w:t>50</w:t>
      </w:r>
      <w:r w:rsidRPr="009A46A4">
        <w:rPr>
          <w:lang w:val="en-US"/>
        </w:rPr>
        <w:t xml:space="preserve"> million (€ </w:t>
      </w:r>
      <w:r w:rsidR="00584F38">
        <w:rPr>
          <w:lang w:val="en-US"/>
        </w:rPr>
        <w:t>39</w:t>
      </w:r>
      <w:r w:rsidRPr="009A46A4">
        <w:rPr>
          <w:lang w:val="en-US"/>
        </w:rPr>
        <w:t xml:space="preserve"> million).</w:t>
      </w:r>
      <w:r w:rsidRPr="00031898">
        <w:rPr>
          <w:rStyle w:val="EndnoteReference"/>
        </w:rPr>
        <w:endnoteReference w:id="78"/>
      </w:r>
    </w:p>
    <w:p w:rsidR="00C42C19" w:rsidRPr="009A46A4" w:rsidRDefault="00C42C19" w:rsidP="006104F0">
      <w:pPr>
        <w:pStyle w:val="ListParagraph"/>
        <w:rPr>
          <w:lang w:val="en-US"/>
        </w:rPr>
      </w:pPr>
    </w:p>
    <w:p w:rsidR="00415768" w:rsidRPr="00546F0A" w:rsidRDefault="00415768">
      <w:pPr>
        <w:keepLines w:val="0"/>
        <w:rPr>
          <w:rFonts w:cs="Times New Roman"/>
          <w:b/>
          <w:color w:val="9FCB3B"/>
          <w:sz w:val="28"/>
          <w:szCs w:val="28"/>
          <w:lang w:val="en-US"/>
        </w:rPr>
      </w:pPr>
      <w:r w:rsidRPr="00546F0A">
        <w:rPr>
          <w:lang w:val="en-US"/>
        </w:rPr>
        <w:br w:type="page"/>
      </w:r>
    </w:p>
    <w:p w:rsidR="00016035" w:rsidRPr="003259AC" w:rsidRDefault="00964C80" w:rsidP="004F6C87">
      <w:pPr>
        <w:pStyle w:val="Bijlage"/>
        <w:rPr>
          <w:lang w:val="en-US"/>
        </w:rPr>
      </w:pPr>
      <w:bookmarkStart w:id="59" w:name="_Toc365554367"/>
      <w:r w:rsidRPr="00546F0A">
        <w:rPr>
          <w:lang w:val="en-US"/>
        </w:rPr>
        <w:lastRenderedPageBreak/>
        <w:t>Referenc</w:t>
      </w:r>
      <w:r w:rsidR="00E61253" w:rsidRPr="00546F0A">
        <w:rPr>
          <w:lang w:val="en-US"/>
        </w:rPr>
        <w:t>es</w:t>
      </w:r>
      <w:bookmarkEnd w:id="59"/>
    </w:p>
    <w:sectPr w:rsidR="00016035" w:rsidRPr="003259AC" w:rsidSect="006C651F">
      <w:footerReference w:type="default" r:id="rId14"/>
      <w:endnotePr>
        <w:numFmt w:val="decimal"/>
      </w:endnotePr>
      <w:pgSz w:w="11905" w:h="16837"/>
      <w:pgMar w:top="1418" w:right="1418" w:bottom="1418" w:left="1418" w:header="851" w:footer="851" w:gutter="0"/>
      <w:pgNumType w:start="1"/>
      <w:cols w:space="708"/>
      <w:noEndnote/>
      <w:docGrid w:linePitch="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9F8" w:rsidRDefault="009A29F8"/>
  </w:endnote>
  <w:endnote w:type="continuationSeparator" w:id="0">
    <w:p w:rsidR="009A29F8" w:rsidRDefault="009A29F8"/>
  </w:endnote>
  <w:endnote w:type="continuationNotice" w:id="1">
    <w:p w:rsidR="009A29F8" w:rsidRDefault="009A29F8"/>
  </w:endnote>
  <w:endnote w:id="2">
    <w:p w:rsidR="009A29F8" w:rsidRPr="00031898" w:rsidRDefault="009A29F8" w:rsidP="009A46A4">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 xml:space="preserve">Bunge, “Form 8-K”, </w:t>
      </w:r>
      <w:r w:rsidRPr="00492604">
        <w:rPr>
          <w:rFonts w:cs="Arial"/>
          <w:i/>
        </w:rPr>
        <w:t>Bunge</w:t>
      </w:r>
      <w:r>
        <w:rPr>
          <w:rFonts w:cs="Arial"/>
        </w:rPr>
        <w:t xml:space="preserve">, 25 March 2011; </w:t>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693988115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10 February 2011</w:t>
      </w:r>
      <w:r w:rsidRPr="00031898">
        <w:t>.</w:t>
      </w:r>
    </w:p>
  </w:endnote>
  <w:endnote w:id="3">
    <w:p w:rsidR="009A29F8" w:rsidRPr="00031898" w:rsidRDefault="009A29F8" w:rsidP="00C42BC2">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826407115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February 2012</w:t>
      </w:r>
      <w:r w:rsidRPr="00031898">
        <w:t>.</w:t>
      </w:r>
    </w:p>
  </w:endnote>
  <w:endnote w:id="4">
    <w:p w:rsidR="009A29F8" w:rsidRPr="00031898" w:rsidRDefault="009A29F8" w:rsidP="003E1169">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2800941115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October 2011</w:t>
      </w:r>
      <w:r w:rsidRPr="00031898">
        <w:t>.</w:t>
      </w:r>
    </w:p>
  </w:endnote>
  <w:endnote w:id="5">
    <w:p w:rsidR="009A29F8" w:rsidRPr="00031898" w:rsidRDefault="009A29F8" w:rsidP="002025F6">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2840246115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3 April 2012</w:t>
      </w:r>
      <w:r w:rsidRPr="00031898">
        <w:t>.</w:t>
      </w:r>
    </w:p>
  </w:endnote>
  <w:endnote w:id="6">
    <w:p w:rsidR="009A29F8" w:rsidRPr="00031898" w:rsidRDefault="009A29F8" w:rsidP="00BA208E">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2724301115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29 April 2011</w:t>
      </w:r>
      <w:r w:rsidRPr="00031898">
        <w:t>.</w:t>
      </w:r>
    </w:p>
  </w:endnote>
  <w:endnote w:id="7">
    <w:p w:rsidR="009A29F8" w:rsidRPr="00031898" w:rsidRDefault="009A29F8" w:rsidP="0080277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771788115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19 August 2011</w:t>
      </w:r>
      <w:r w:rsidRPr="00031898">
        <w:t>.</w:t>
      </w:r>
    </w:p>
  </w:endnote>
  <w:endnote w:id="8">
    <w:p w:rsidR="009A29F8" w:rsidRPr="00031898" w:rsidRDefault="009A29F8" w:rsidP="00E21F41">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946646</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28 February 2013</w:t>
      </w:r>
      <w:r w:rsidRPr="00031898">
        <w:t>.</w:t>
      </w:r>
    </w:p>
  </w:endnote>
  <w:endnote w:id="9">
    <w:p w:rsidR="009A29F8" w:rsidRPr="00031898" w:rsidRDefault="009A29F8" w:rsidP="00D51A67">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 xml:space="preserve">Danone, “Series No: 100. Tranche No: 1. Euro 500,000,000 2.50 per cent. Notes due September 2016”, </w:t>
      </w:r>
      <w:r w:rsidRPr="00D51A67">
        <w:rPr>
          <w:rFonts w:cs="Arial"/>
          <w:i/>
        </w:rPr>
        <w:t>Danone</w:t>
      </w:r>
      <w:r>
        <w:rPr>
          <w:rFonts w:cs="Arial"/>
        </w:rPr>
        <w:t>, 27 September 2011</w:t>
      </w:r>
      <w:r w:rsidRPr="00031898">
        <w:t>.</w:t>
      </w:r>
    </w:p>
  </w:endnote>
  <w:endnote w:id="10">
    <w:p w:rsidR="009A29F8" w:rsidRPr="00031898" w:rsidRDefault="009A29F8" w:rsidP="00451ABC">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 xml:space="preserve">Danone, “Series No: 104. Tranche No: 1. Euro 750,000,000 1.25 per cent. Notes due 6 June 2018”, </w:t>
      </w:r>
      <w:r w:rsidRPr="00D51A67">
        <w:rPr>
          <w:rFonts w:cs="Arial"/>
          <w:i/>
        </w:rPr>
        <w:t>Danone</w:t>
      </w:r>
      <w:r>
        <w:rPr>
          <w:rFonts w:cs="Arial"/>
        </w:rPr>
        <w:t>, 4 March 2013</w:t>
      </w:r>
      <w:r w:rsidRPr="00031898">
        <w:t>.</w:t>
      </w:r>
    </w:p>
  </w:endnote>
  <w:endnote w:id="11">
    <w:p w:rsidR="009A29F8" w:rsidRPr="00031898" w:rsidRDefault="009A29F8" w:rsidP="00B95F7C">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 xml:space="preserve">Danone, “Series No: 106. Tranche No: 1. Euro 500,000,000 2.6 per cent. Notes due 28 June 2023”, </w:t>
      </w:r>
      <w:r w:rsidRPr="00D51A67">
        <w:rPr>
          <w:rFonts w:cs="Arial"/>
          <w:i/>
        </w:rPr>
        <w:t>Danone</w:t>
      </w:r>
      <w:r>
        <w:rPr>
          <w:rFonts w:cs="Arial"/>
        </w:rPr>
        <w:t>, 26 June 2013</w:t>
      </w:r>
      <w:r w:rsidRPr="00031898">
        <w:t>.</w:t>
      </w:r>
    </w:p>
  </w:endnote>
  <w:endnote w:id="12">
    <w:p w:rsidR="009A29F8" w:rsidRPr="00031898" w:rsidRDefault="009A29F8" w:rsidP="00DE7332">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702777</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8 March 2011</w:t>
      </w:r>
      <w:r w:rsidRPr="00031898">
        <w:t>.</w:t>
      </w:r>
    </w:p>
  </w:endnote>
  <w:endnote w:id="13">
    <w:p w:rsidR="009A29F8" w:rsidRPr="00031898" w:rsidRDefault="009A29F8" w:rsidP="00FC586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859599</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12 June 2012</w:t>
      </w:r>
      <w:r w:rsidRPr="00031898">
        <w:t>.</w:t>
      </w:r>
    </w:p>
  </w:endnote>
  <w:endnote w:id="14">
    <w:p w:rsidR="009A29F8" w:rsidRPr="00031898" w:rsidRDefault="009A29F8" w:rsidP="003A6B62">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883975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28 August 2012</w:t>
      </w:r>
      <w:r w:rsidRPr="00031898">
        <w:t>.</w:t>
      </w:r>
    </w:p>
  </w:endnote>
  <w:endnote w:id="15">
    <w:p w:rsidR="009A29F8" w:rsidRPr="00031898" w:rsidRDefault="009A29F8" w:rsidP="00F2774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998406</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23 July 2013</w:t>
      </w:r>
      <w:r w:rsidRPr="00031898">
        <w:t>.</w:t>
      </w:r>
    </w:p>
  </w:endnote>
  <w:endnote w:id="16">
    <w:p w:rsidR="009A29F8" w:rsidRPr="00031898" w:rsidRDefault="009A29F8" w:rsidP="00E85EC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759056115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 July 2011</w:t>
      </w:r>
      <w:r w:rsidRPr="00031898">
        <w:t>.</w:t>
      </w:r>
    </w:p>
  </w:endnote>
  <w:endnote w:id="17">
    <w:p w:rsidR="009A29F8" w:rsidRPr="00031898" w:rsidRDefault="009A29F8" w:rsidP="00E85EC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649507115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15 October 2010</w:t>
      </w:r>
      <w:r w:rsidRPr="00031898">
        <w:t>.</w:t>
      </w:r>
    </w:p>
  </w:endnote>
  <w:endnote w:id="18">
    <w:p w:rsidR="009A29F8" w:rsidRPr="00031898" w:rsidRDefault="009A29F8" w:rsidP="0032300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780168115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21 September 2011</w:t>
      </w:r>
      <w:r w:rsidRPr="00031898">
        <w:t>.</w:t>
      </w:r>
    </w:p>
  </w:endnote>
  <w:endnote w:id="19">
    <w:p w:rsidR="009A29F8" w:rsidRPr="00031898" w:rsidRDefault="009A29F8" w:rsidP="0032300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893369115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15 September 2012</w:t>
      </w:r>
      <w:r w:rsidRPr="00031898">
        <w:t>.</w:t>
      </w:r>
    </w:p>
  </w:endnote>
  <w:endnote w:id="20">
    <w:p w:rsidR="009A29F8" w:rsidRPr="00031898" w:rsidRDefault="009A29F8" w:rsidP="0028673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658977115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29 October 2010</w:t>
      </w:r>
      <w:r w:rsidRPr="00031898">
        <w:t>.</w:t>
      </w:r>
    </w:p>
  </w:endnote>
  <w:endnote w:id="21">
    <w:p w:rsidR="009A29F8" w:rsidRPr="00031898" w:rsidRDefault="009A29F8" w:rsidP="0028673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789894115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28 October 2011</w:t>
      </w:r>
      <w:r w:rsidRPr="00031898">
        <w:t>.</w:t>
      </w:r>
    </w:p>
  </w:endnote>
  <w:endnote w:id="22">
    <w:p w:rsidR="009A29F8" w:rsidRPr="00031898" w:rsidRDefault="009A29F8" w:rsidP="00471E0C">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923637115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14 December 2012</w:t>
      </w:r>
      <w:r w:rsidRPr="00031898">
        <w:t>.</w:t>
      </w:r>
    </w:p>
  </w:endnote>
  <w:endnote w:id="23">
    <w:p w:rsidR="009A29F8" w:rsidRPr="00031898" w:rsidRDefault="009A29F8" w:rsidP="006C235F">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 xml:space="preserve">Bunge, “Form 8-K”, </w:t>
      </w:r>
      <w:r w:rsidRPr="00492604">
        <w:rPr>
          <w:rFonts w:cs="Arial"/>
          <w:i/>
        </w:rPr>
        <w:t>Bunge</w:t>
      </w:r>
      <w:r>
        <w:rPr>
          <w:rFonts w:cs="Arial"/>
        </w:rPr>
        <w:t xml:space="preserve">, 25 March 2011; </w:t>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693988115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10 February 2011</w:t>
      </w:r>
      <w:r w:rsidRPr="00031898">
        <w:t>.</w:t>
      </w:r>
    </w:p>
  </w:endnote>
  <w:endnote w:id="24">
    <w:p w:rsidR="009A29F8" w:rsidRPr="00031898" w:rsidRDefault="009A29F8" w:rsidP="000446BF">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 xml:space="preserve">Bunge, “Form 8-K”, </w:t>
      </w:r>
      <w:r w:rsidRPr="00492604">
        <w:rPr>
          <w:rFonts w:cs="Arial"/>
          <w:i/>
        </w:rPr>
        <w:t>Bunge</w:t>
      </w:r>
      <w:r>
        <w:rPr>
          <w:rFonts w:cs="Arial"/>
        </w:rPr>
        <w:t xml:space="preserve">, 17 November 2011; </w:t>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794169115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17 November 2011</w:t>
      </w:r>
      <w:r w:rsidRPr="00031898">
        <w:t>.</w:t>
      </w:r>
    </w:p>
  </w:endnote>
  <w:endnote w:id="25">
    <w:p w:rsidR="009A29F8" w:rsidRPr="00031898" w:rsidRDefault="009A29F8" w:rsidP="002A1B1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638204115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29 September 2010</w:t>
      </w:r>
      <w:r w:rsidRPr="00031898">
        <w:t>.</w:t>
      </w:r>
    </w:p>
  </w:endnote>
  <w:endnote w:id="26">
    <w:p w:rsidR="009A29F8" w:rsidRPr="00031898" w:rsidRDefault="009A29F8" w:rsidP="002A1B1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700680115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 xml:space="preserve">26 February 2011; </w:t>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709932115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26 February 2011</w:t>
      </w:r>
      <w:r w:rsidRPr="00031898">
        <w:t>.</w:t>
      </w:r>
    </w:p>
  </w:endnote>
  <w:endnote w:id="27">
    <w:p w:rsidR="009A29F8" w:rsidRPr="00031898" w:rsidRDefault="009A29F8" w:rsidP="00711B74">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773409115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20 September 2011</w:t>
      </w:r>
      <w:r w:rsidRPr="00031898">
        <w:t>.</w:t>
      </w:r>
    </w:p>
  </w:endnote>
  <w:endnote w:id="28">
    <w:p w:rsidR="009A29F8" w:rsidRPr="00031898" w:rsidRDefault="009A29F8" w:rsidP="00A72C16">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826407115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February 2012</w:t>
      </w:r>
      <w:r w:rsidRPr="00031898">
        <w:t>.</w:t>
      </w:r>
    </w:p>
  </w:endnote>
  <w:endnote w:id="29">
    <w:p w:rsidR="009A29F8" w:rsidRPr="00031898" w:rsidRDefault="009A29F8" w:rsidP="00B00505">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900578115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29 September 2012</w:t>
      </w:r>
      <w:r w:rsidRPr="00031898">
        <w:t>.</w:t>
      </w:r>
    </w:p>
  </w:endnote>
  <w:endnote w:id="30">
    <w:p w:rsidR="009A29F8" w:rsidRPr="00031898" w:rsidRDefault="009A29F8" w:rsidP="00DD118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939936115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7 February 2013</w:t>
      </w:r>
      <w:r w:rsidRPr="00031898">
        <w:t>.</w:t>
      </w:r>
    </w:p>
  </w:endnote>
  <w:endnote w:id="31">
    <w:p w:rsidR="009A29F8" w:rsidRPr="00031898" w:rsidRDefault="009A29F8" w:rsidP="0078243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2800941115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October 2011</w:t>
      </w:r>
      <w:r w:rsidRPr="00031898">
        <w:t>.</w:t>
      </w:r>
    </w:p>
  </w:endnote>
  <w:endnote w:id="32">
    <w:p w:rsidR="009A29F8" w:rsidRPr="00031898" w:rsidRDefault="009A29F8" w:rsidP="00F2774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2926188115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9 November 2012</w:t>
      </w:r>
      <w:r w:rsidRPr="00031898">
        <w:t>.</w:t>
      </w:r>
    </w:p>
  </w:endnote>
  <w:endnote w:id="33">
    <w:p w:rsidR="009A29F8" w:rsidRPr="00031898" w:rsidRDefault="009A29F8" w:rsidP="00336601">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2724301115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29 April 2011</w:t>
      </w:r>
      <w:r w:rsidRPr="00031898">
        <w:t>.</w:t>
      </w:r>
    </w:p>
  </w:endnote>
  <w:endnote w:id="34">
    <w:p w:rsidR="009A29F8" w:rsidRPr="00031898" w:rsidRDefault="009A29F8" w:rsidP="00CB18AB">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705540115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12 November 2010</w:t>
      </w:r>
      <w:r w:rsidRPr="00031898">
        <w:t>.</w:t>
      </w:r>
    </w:p>
  </w:endnote>
  <w:endnote w:id="35">
    <w:p w:rsidR="009A29F8" w:rsidRPr="00031898" w:rsidRDefault="009A29F8" w:rsidP="00CB18AB">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912157115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8 March 2012</w:t>
      </w:r>
      <w:r w:rsidRPr="00031898">
        <w:t>.</w:t>
      </w:r>
    </w:p>
  </w:endnote>
  <w:endnote w:id="36">
    <w:p w:rsidR="009A29F8" w:rsidRPr="00031898" w:rsidRDefault="009A29F8" w:rsidP="006104F0">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946543115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25 February 2013</w:t>
      </w:r>
      <w:r w:rsidRPr="00031898">
        <w:t>.</w:t>
      </w:r>
    </w:p>
  </w:endnote>
  <w:endnote w:id="37">
    <w:p w:rsidR="009A29F8" w:rsidRPr="00031898" w:rsidRDefault="009A29F8" w:rsidP="006104F0">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757425115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July 2011</w:t>
      </w:r>
      <w:r w:rsidRPr="00031898">
        <w:t>.</w:t>
      </w:r>
    </w:p>
  </w:endnote>
  <w:endnote w:id="38">
    <w:p w:rsidR="009A29F8" w:rsidRPr="00031898" w:rsidRDefault="009A29F8" w:rsidP="0099325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669286</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8 December 2010</w:t>
      </w:r>
      <w:r w:rsidRPr="00031898">
        <w:t>.</w:t>
      </w:r>
    </w:p>
  </w:endnote>
  <w:endnote w:id="39">
    <w:p w:rsidR="009A29F8" w:rsidRPr="00031898" w:rsidRDefault="009A29F8" w:rsidP="00A3165B">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729432</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16 May 2011</w:t>
      </w:r>
      <w:r w:rsidRPr="00031898">
        <w:t>.</w:t>
      </w:r>
    </w:p>
  </w:endnote>
  <w:endnote w:id="40">
    <w:p w:rsidR="009A29F8" w:rsidRPr="00031898" w:rsidRDefault="009A29F8" w:rsidP="00A3165B">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791173</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14 November 2011</w:t>
      </w:r>
      <w:r w:rsidRPr="00031898">
        <w:t>.</w:t>
      </w:r>
    </w:p>
  </w:endnote>
  <w:endnote w:id="41">
    <w:p w:rsidR="009A29F8" w:rsidRPr="00031898" w:rsidRDefault="009A29F8" w:rsidP="00B06FF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850880</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14 May 2012</w:t>
      </w:r>
      <w:r w:rsidRPr="00031898">
        <w:t>.</w:t>
      </w:r>
    </w:p>
  </w:endnote>
  <w:endnote w:id="42">
    <w:p w:rsidR="009A29F8" w:rsidRPr="00031898" w:rsidRDefault="009A29F8" w:rsidP="00B06FF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940183</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11 February 2013</w:t>
      </w:r>
      <w:r w:rsidRPr="00031898">
        <w:t>.</w:t>
      </w:r>
    </w:p>
  </w:endnote>
  <w:endnote w:id="43">
    <w:p w:rsidR="009A29F8" w:rsidRPr="00031898" w:rsidRDefault="009A29F8" w:rsidP="00D04229">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936066</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11 October 2012</w:t>
      </w:r>
      <w:r w:rsidRPr="00031898">
        <w:t>.</w:t>
      </w:r>
    </w:p>
  </w:endnote>
  <w:endnote w:id="44">
    <w:p w:rsidR="009A29F8" w:rsidRPr="00031898" w:rsidRDefault="009A29F8" w:rsidP="0080020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E85EC3">
        <w:rPr>
          <w:lang w:val="en-US"/>
        </w:rPr>
        <w:t>Nestlé</w:t>
      </w:r>
      <w:r w:rsidRPr="00031898">
        <w:rPr>
          <w:rFonts w:cs="Arial"/>
        </w:rPr>
        <w:t>, “</w:t>
      </w:r>
      <w:r>
        <w:rPr>
          <w:rStyle w:val="EndnoteReference"/>
          <w:rFonts w:cs="Arial"/>
          <w:vertAlign w:val="baseline"/>
        </w:rPr>
        <w:t>I</w:t>
      </w:r>
      <w:r>
        <w:rPr>
          <w:rFonts w:cs="Arial"/>
        </w:rPr>
        <w:t>ssue of AUD 175,000,000 5.50 per cent. Notes due 28 January 2016</w:t>
      </w:r>
      <w:r w:rsidRPr="00031898">
        <w:rPr>
          <w:rStyle w:val="EndnoteReference"/>
          <w:rFonts w:cs="Arial"/>
          <w:vertAlign w:val="baseline"/>
        </w:rPr>
        <w:t xml:space="preserve">”, </w:t>
      </w:r>
      <w:r w:rsidRPr="00D54E01">
        <w:rPr>
          <w:i/>
          <w:lang w:val="en-US"/>
        </w:rPr>
        <w:t>Nestlé</w:t>
      </w:r>
      <w:r w:rsidRPr="00031898">
        <w:rPr>
          <w:rStyle w:val="EndnoteReference"/>
          <w:vertAlign w:val="baseline"/>
        </w:rPr>
        <w:t xml:space="preserve">, </w:t>
      </w:r>
      <w:r>
        <w:t>25 January 2011</w:t>
      </w:r>
      <w:r w:rsidRPr="00031898">
        <w:t>.</w:t>
      </w:r>
    </w:p>
  </w:endnote>
  <w:endnote w:id="45">
    <w:p w:rsidR="009A29F8" w:rsidRPr="00031898" w:rsidRDefault="009A29F8" w:rsidP="00D54E01">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E85EC3">
        <w:rPr>
          <w:lang w:val="en-US"/>
        </w:rPr>
        <w:t>Nestlé</w:t>
      </w:r>
      <w:r w:rsidRPr="00031898">
        <w:rPr>
          <w:rFonts w:cs="Arial"/>
        </w:rPr>
        <w:t>, “</w:t>
      </w:r>
      <w:r>
        <w:rPr>
          <w:rStyle w:val="EndnoteReference"/>
          <w:rFonts w:cs="Arial"/>
          <w:vertAlign w:val="baseline"/>
        </w:rPr>
        <w:t>I</w:t>
      </w:r>
      <w:r>
        <w:rPr>
          <w:rFonts w:cs="Arial"/>
        </w:rPr>
        <w:t>ssue of NOK 1,000,000,000 3.375 per cent. Notes due 8 February 2016</w:t>
      </w:r>
      <w:r w:rsidRPr="00031898">
        <w:rPr>
          <w:rStyle w:val="EndnoteReference"/>
          <w:rFonts w:cs="Arial"/>
          <w:vertAlign w:val="baseline"/>
        </w:rPr>
        <w:t xml:space="preserve">”, </w:t>
      </w:r>
      <w:r w:rsidRPr="00D54E01">
        <w:rPr>
          <w:i/>
          <w:lang w:val="en-US"/>
        </w:rPr>
        <w:t>Nestlé</w:t>
      </w:r>
      <w:r w:rsidRPr="00031898">
        <w:rPr>
          <w:rStyle w:val="EndnoteReference"/>
          <w:vertAlign w:val="baseline"/>
        </w:rPr>
        <w:t xml:space="preserve">, </w:t>
      </w:r>
      <w:r>
        <w:t>3 February 2011</w:t>
      </w:r>
      <w:r w:rsidRPr="00031898">
        <w:t>.</w:t>
      </w:r>
    </w:p>
  </w:endnote>
  <w:endnote w:id="46">
    <w:p w:rsidR="009A29F8" w:rsidRPr="00031898" w:rsidRDefault="009A29F8" w:rsidP="0099325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E85EC3">
        <w:rPr>
          <w:lang w:val="en-US"/>
        </w:rPr>
        <w:t>Nestlé</w:t>
      </w:r>
      <w:r w:rsidRPr="00031898">
        <w:rPr>
          <w:rFonts w:cs="Arial"/>
        </w:rPr>
        <w:t>, “</w:t>
      </w:r>
      <w:r>
        <w:rPr>
          <w:rStyle w:val="EndnoteReference"/>
          <w:rFonts w:cs="Arial"/>
          <w:vertAlign w:val="baseline"/>
        </w:rPr>
        <w:t>I</w:t>
      </w:r>
      <w:r>
        <w:rPr>
          <w:rFonts w:cs="Arial"/>
        </w:rPr>
        <w:t>ssue of A$ 125,000,000 4.625 per cent. Notes due 29 March 2017</w:t>
      </w:r>
      <w:r w:rsidRPr="00031898">
        <w:rPr>
          <w:rStyle w:val="EndnoteReference"/>
          <w:rFonts w:cs="Arial"/>
          <w:vertAlign w:val="baseline"/>
        </w:rPr>
        <w:t xml:space="preserve">”, </w:t>
      </w:r>
      <w:r w:rsidRPr="00D54E01">
        <w:rPr>
          <w:i/>
          <w:lang w:val="en-US"/>
        </w:rPr>
        <w:t>Nestlé</w:t>
      </w:r>
      <w:r w:rsidRPr="00031898">
        <w:rPr>
          <w:rStyle w:val="EndnoteReference"/>
          <w:vertAlign w:val="baseline"/>
        </w:rPr>
        <w:t xml:space="preserve">, </w:t>
      </w:r>
      <w:r>
        <w:t>22 March 2012</w:t>
      </w:r>
      <w:r w:rsidRPr="00031898">
        <w:t>.</w:t>
      </w:r>
    </w:p>
  </w:endnote>
  <w:endnote w:id="47">
    <w:p w:rsidR="009A29F8" w:rsidRPr="00031898" w:rsidRDefault="009A29F8" w:rsidP="00FC586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859599</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12 June 2012</w:t>
      </w:r>
      <w:r w:rsidRPr="00031898">
        <w:t>.</w:t>
      </w:r>
    </w:p>
  </w:endnote>
  <w:endnote w:id="48">
    <w:p w:rsidR="009A29F8" w:rsidRPr="00031898" w:rsidRDefault="009A29F8" w:rsidP="0006075C">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787844</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3 November 2011</w:t>
      </w:r>
      <w:r w:rsidRPr="00031898">
        <w:t>.</w:t>
      </w:r>
    </w:p>
  </w:endnote>
  <w:endnote w:id="49">
    <w:p w:rsidR="009A29F8" w:rsidRPr="00031898" w:rsidRDefault="009A29F8" w:rsidP="0099325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614176115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July 2010</w:t>
      </w:r>
      <w:r w:rsidRPr="00031898">
        <w:t>.</w:t>
      </w:r>
    </w:p>
  </w:endnote>
  <w:endnote w:id="50">
    <w:p w:rsidR="009A29F8" w:rsidRPr="00031898" w:rsidRDefault="009A29F8" w:rsidP="0099325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838860115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24 March 2012</w:t>
      </w:r>
      <w:r w:rsidRPr="00031898">
        <w:t>.</w:t>
      </w:r>
    </w:p>
  </w:endnote>
  <w:endnote w:id="51">
    <w:p w:rsidR="009A29F8" w:rsidRPr="00031898" w:rsidRDefault="009A29F8" w:rsidP="008B470A">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696718115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7 February 2011</w:t>
      </w:r>
      <w:r w:rsidRPr="00031898">
        <w:t>.</w:t>
      </w:r>
    </w:p>
  </w:endnote>
  <w:endnote w:id="52">
    <w:p w:rsidR="009A29F8" w:rsidRPr="00031898" w:rsidRDefault="009A29F8" w:rsidP="00B06FF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810911115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6 January 2012</w:t>
      </w:r>
      <w:r w:rsidRPr="00031898">
        <w:t>.</w:t>
      </w:r>
    </w:p>
  </w:endnote>
  <w:endnote w:id="53">
    <w:p w:rsidR="009A29F8" w:rsidRPr="00031898" w:rsidRDefault="009A29F8" w:rsidP="00B06FF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827355115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25 February 2012</w:t>
      </w:r>
      <w:r w:rsidRPr="00031898">
        <w:t>.</w:t>
      </w:r>
    </w:p>
  </w:endnote>
  <w:endnote w:id="54">
    <w:p w:rsidR="009A29F8" w:rsidRPr="00031898" w:rsidRDefault="009A29F8" w:rsidP="00FE4BDE">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707500115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7 March 2011</w:t>
      </w:r>
      <w:r w:rsidRPr="00031898">
        <w:t>.</w:t>
      </w:r>
    </w:p>
  </w:endnote>
  <w:endnote w:id="55">
    <w:p w:rsidR="009A29F8" w:rsidRPr="00031898" w:rsidRDefault="009A29F8" w:rsidP="006A5F0C">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658977115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29 October 2010</w:t>
      </w:r>
      <w:r w:rsidRPr="00031898">
        <w:t>.</w:t>
      </w:r>
    </w:p>
  </w:endnote>
  <w:endnote w:id="56">
    <w:p w:rsidR="009A29F8" w:rsidRPr="00031898" w:rsidRDefault="009A29F8" w:rsidP="006C235F">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 xml:space="preserve">Bunge, “Form 8-K”, </w:t>
      </w:r>
      <w:r w:rsidRPr="00492604">
        <w:rPr>
          <w:rFonts w:cs="Arial"/>
          <w:i/>
        </w:rPr>
        <w:t>Bunge</w:t>
      </w:r>
      <w:r>
        <w:rPr>
          <w:rFonts w:cs="Arial"/>
        </w:rPr>
        <w:t xml:space="preserve">, 25 March 2011; </w:t>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693988115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10 February 2011</w:t>
      </w:r>
      <w:r w:rsidRPr="00031898">
        <w:t>.</w:t>
      </w:r>
    </w:p>
  </w:endnote>
  <w:endnote w:id="57">
    <w:p w:rsidR="009A29F8" w:rsidRPr="00031898" w:rsidRDefault="009A29F8" w:rsidP="001D48CB">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 xml:space="preserve">Bunge, “Form 8-K”, </w:t>
      </w:r>
      <w:r w:rsidRPr="00492604">
        <w:rPr>
          <w:rFonts w:cs="Arial"/>
          <w:i/>
        </w:rPr>
        <w:t>Bunge</w:t>
      </w:r>
      <w:r>
        <w:rPr>
          <w:rFonts w:cs="Arial"/>
        </w:rPr>
        <w:t xml:space="preserve">, 17 November 2011; </w:t>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794169115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17 November 2011</w:t>
      </w:r>
      <w:r w:rsidRPr="00031898">
        <w:t>.</w:t>
      </w:r>
    </w:p>
  </w:endnote>
  <w:endnote w:id="58">
    <w:p w:rsidR="009A29F8" w:rsidRPr="00031898" w:rsidRDefault="009A29F8" w:rsidP="00701B1F">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638204115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29 September 2010</w:t>
      </w:r>
      <w:r w:rsidRPr="00031898">
        <w:t>.</w:t>
      </w:r>
    </w:p>
  </w:endnote>
  <w:endnote w:id="59">
    <w:p w:rsidR="009A29F8" w:rsidRPr="00031898" w:rsidRDefault="009A29F8" w:rsidP="002A1B1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700680115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 xml:space="preserve">26 February 2011; </w:t>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709932115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26 February 2011</w:t>
      </w:r>
      <w:r w:rsidRPr="00031898">
        <w:t>.</w:t>
      </w:r>
    </w:p>
  </w:endnote>
  <w:endnote w:id="60">
    <w:p w:rsidR="009A29F8" w:rsidRPr="00031898" w:rsidRDefault="009A29F8" w:rsidP="00A72C16">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826407115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February 2012</w:t>
      </w:r>
      <w:r w:rsidRPr="00031898">
        <w:t>.</w:t>
      </w:r>
    </w:p>
  </w:endnote>
  <w:endnote w:id="61">
    <w:p w:rsidR="009A29F8" w:rsidRPr="00031898" w:rsidRDefault="009A29F8" w:rsidP="00DD118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939936115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7 February 2013</w:t>
      </w:r>
      <w:r w:rsidRPr="00031898">
        <w:t>.</w:t>
      </w:r>
    </w:p>
  </w:endnote>
  <w:endnote w:id="62">
    <w:p w:rsidR="009A29F8" w:rsidRPr="00031898" w:rsidRDefault="009A29F8" w:rsidP="008B470A">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Copersucar</w:t>
      </w:r>
      <w:r w:rsidRPr="00031898">
        <w:rPr>
          <w:rFonts w:cs="Arial"/>
        </w:rPr>
        <w:t>, “</w:t>
      </w:r>
      <w:r>
        <w:rPr>
          <w:rStyle w:val="EndnoteReference"/>
          <w:rFonts w:cs="Arial"/>
          <w:vertAlign w:val="baseline"/>
        </w:rPr>
        <w:t>F</w:t>
      </w:r>
      <w:r>
        <w:rPr>
          <w:rFonts w:cs="Arial"/>
        </w:rPr>
        <w:t>inancial Statements March 31, 2012 and 2011</w:t>
      </w:r>
      <w:r w:rsidRPr="00031898">
        <w:rPr>
          <w:rStyle w:val="EndnoteReference"/>
          <w:rFonts w:cs="Arial"/>
          <w:vertAlign w:val="baseline"/>
        </w:rPr>
        <w:t xml:space="preserve">”, </w:t>
      </w:r>
      <w:r>
        <w:rPr>
          <w:rStyle w:val="EndnoteReference"/>
          <w:rFonts w:cs="Arial"/>
          <w:i/>
          <w:vertAlign w:val="baseline"/>
        </w:rPr>
        <w:t>C</w:t>
      </w:r>
      <w:r>
        <w:rPr>
          <w:rFonts w:cs="Arial"/>
          <w:i/>
        </w:rPr>
        <w:t>opersucar</w:t>
      </w:r>
      <w:r w:rsidRPr="00031898">
        <w:rPr>
          <w:rStyle w:val="EndnoteReference"/>
          <w:vertAlign w:val="baseline"/>
        </w:rPr>
        <w:t xml:space="preserve">, </w:t>
      </w:r>
      <w:r>
        <w:t>June 2012</w:t>
      </w:r>
      <w:r w:rsidRPr="00031898">
        <w:t>.</w:t>
      </w:r>
    </w:p>
  </w:endnote>
  <w:endnote w:id="63">
    <w:p w:rsidR="009A29F8" w:rsidRPr="00031898" w:rsidRDefault="009A29F8" w:rsidP="004F463B">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Copersucar</w:t>
      </w:r>
      <w:r w:rsidRPr="00031898">
        <w:rPr>
          <w:rFonts w:cs="Arial"/>
        </w:rPr>
        <w:t>, “</w:t>
      </w:r>
      <w:r>
        <w:rPr>
          <w:rStyle w:val="EndnoteReference"/>
          <w:rFonts w:cs="Arial"/>
          <w:vertAlign w:val="baseline"/>
        </w:rPr>
        <w:t>F</w:t>
      </w:r>
      <w:r>
        <w:rPr>
          <w:rFonts w:cs="Arial"/>
        </w:rPr>
        <w:t>inancial Statements March 31, 2012 and 2011</w:t>
      </w:r>
      <w:r w:rsidRPr="00031898">
        <w:rPr>
          <w:rStyle w:val="EndnoteReference"/>
          <w:rFonts w:cs="Arial"/>
          <w:vertAlign w:val="baseline"/>
        </w:rPr>
        <w:t xml:space="preserve">”, </w:t>
      </w:r>
      <w:r>
        <w:rPr>
          <w:rStyle w:val="EndnoteReference"/>
          <w:rFonts w:cs="Arial"/>
          <w:i/>
          <w:vertAlign w:val="baseline"/>
        </w:rPr>
        <w:t>C</w:t>
      </w:r>
      <w:r>
        <w:rPr>
          <w:rFonts w:cs="Arial"/>
          <w:i/>
        </w:rPr>
        <w:t>opersucar</w:t>
      </w:r>
      <w:r w:rsidRPr="00031898">
        <w:rPr>
          <w:rStyle w:val="EndnoteReference"/>
          <w:vertAlign w:val="baseline"/>
        </w:rPr>
        <w:t xml:space="preserve">, </w:t>
      </w:r>
      <w:r>
        <w:t xml:space="preserve">June 2012; </w:t>
      </w:r>
      <w:r>
        <w:rPr>
          <w:rFonts w:cs="Arial"/>
        </w:rPr>
        <w:t>Copersucar</w:t>
      </w:r>
      <w:r w:rsidRPr="00031898">
        <w:rPr>
          <w:rFonts w:cs="Arial"/>
        </w:rPr>
        <w:t>, “</w:t>
      </w:r>
      <w:r>
        <w:rPr>
          <w:rStyle w:val="EndnoteReference"/>
          <w:rFonts w:cs="Arial"/>
          <w:vertAlign w:val="baseline"/>
        </w:rPr>
        <w:t>F</w:t>
      </w:r>
      <w:r>
        <w:rPr>
          <w:rFonts w:cs="Arial"/>
        </w:rPr>
        <w:t>inancial Statements March 31, 2013 and 2012</w:t>
      </w:r>
      <w:r w:rsidRPr="00031898">
        <w:rPr>
          <w:rStyle w:val="EndnoteReference"/>
          <w:rFonts w:cs="Arial"/>
          <w:vertAlign w:val="baseline"/>
        </w:rPr>
        <w:t xml:space="preserve">”, </w:t>
      </w:r>
      <w:r>
        <w:rPr>
          <w:rStyle w:val="EndnoteReference"/>
          <w:rFonts w:cs="Arial"/>
          <w:i/>
          <w:vertAlign w:val="baseline"/>
        </w:rPr>
        <w:t>C</w:t>
      </w:r>
      <w:r>
        <w:rPr>
          <w:rFonts w:cs="Arial"/>
          <w:i/>
        </w:rPr>
        <w:t>opersucar</w:t>
      </w:r>
      <w:r w:rsidRPr="00031898">
        <w:rPr>
          <w:rStyle w:val="EndnoteReference"/>
          <w:vertAlign w:val="baseline"/>
        </w:rPr>
        <w:t xml:space="preserve">, </w:t>
      </w:r>
      <w:r>
        <w:t>July 2013</w:t>
      </w:r>
      <w:r w:rsidRPr="00031898">
        <w:t>.</w:t>
      </w:r>
    </w:p>
  </w:endnote>
  <w:endnote w:id="64">
    <w:p w:rsidR="009A29F8" w:rsidRPr="00031898" w:rsidRDefault="009A29F8" w:rsidP="00937BA9">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Pr>
          <w:rFonts w:cs="Arial"/>
        </w:rPr>
        <w:t>Copersucar</w:t>
      </w:r>
      <w:r w:rsidRPr="00031898">
        <w:rPr>
          <w:rFonts w:cs="Arial"/>
        </w:rPr>
        <w:t>, “</w:t>
      </w:r>
      <w:r>
        <w:rPr>
          <w:rStyle w:val="EndnoteReference"/>
          <w:rFonts w:cs="Arial"/>
          <w:vertAlign w:val="baseline"/>
        </w:rPr>
        <w:t>F</w:t>
      </w:r>
      <w:r>
        <w:rPr>
          <w:rFonts w:cs="Arial"/>
        </w:rPr>
        <w:t>inancial Statements March 31, 2013 and 2012</w:t>
      </w:r>
      <w:r w:rsidRPr="00031898">
        <w:rPr>
          <w:rStyle w:val="EndnoteReference"/>
          <w:rFonts w:cs="Arial"/>
          <w:vertAlign w:val="baseline"/>
        </w:rPr>
        <w:t xml:space="preserve">”, </w:t>
      </w:r>
      <w:r>
        <w:rPr>
          <w:rStyle w:val="EndnoteReference"/>
          <w:rFonts w:cs="Arial"/>
          <w:i/>
          <w:vertAlign w:val="baseline"/>
        </w:rPr>
        <w:t>C</w:t>
      </w:r>
      <w:r>
        <w:rPr>
          <w:rFonts w:cs="Arial"/>
          <w:i/>
        </w:rPr>
        <w:t>opersucar</w:t>
      </w:r>
      <w:r w:rsidRPr="00031898">
        <w:rPr>
          <w:rStyle w:val="EndnoteReference"/>
          <w:vertAlign w:val="baseline"/>
        </w:rPr>
        <w:t xml:space="preserve">, </w:t>
      </w:r>
      <w:r>
        <w:t>July 2013</w:t>
      </w:r>
      <w:r w:rsidRPr="00031898">
        <w:t>.</w:t>
      </w:r>
    </w:p>
  </w:endnote>
  <w:endnote w:id="65">
    <w:p w:rsidR="009A29F8" w:rsidRPr="00031898" w:rsidRDefault="009A29F8" w:rsidP="00A427BC">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2654282115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27 October 2010</w:t>
      </w:r>
      <w:r w:rsidRPr="00031898">
        <w:t>.</w:t>
      </w:r>
    </w:p>
  </w:endnote>
  <w:endnote w:id="66">
    <w:p w:rsidR="009A29F8" w:rsidRPr="00031898" w:rsidRDefault="009A29F8" w:rsidP="005E44E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2733582115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23 May 2011</w:t>
      </w:r>
      <w:r w:rsidRPr="00031898">
        <w:t>.</w:t>
      </w:r>
    </w:p>
  </w:endnote>
  <w:endnote w:id="67">
    <w:p w:rsidR="009A29F8" w:rsidRPr="00031898" w:rsidRDefault="009A29F8" w:rsidP="0078243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2800941115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October 2011</w:t>
      </w:r>
      <w:r w:rsidRPr="00031898">
        <w:t>.</w:t>
      </w:r>
    </w:p>
  </w:endnote>
  <w:endnote w:id="68">
    <w:p w:rsidR="009A29F8" w:rsidRPr="00031898" w:rsidRDefault="009A29F8" w:rsidP="00782438">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2840246115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3 April 2012</w:t>
      </w:r>
      <w:r w:rsidRPr="00031898">
        <w:t>.</w:t>
      </w:r>
    </w:p>
  </w:endnote>
  <w:endnote w:id="69">
    <w:p w:rsidR="009A29F8" w:rsidRPr="00031898" w:rsidRDefault="009A29F8" w:rsidP="005E44E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2990467115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May 2013</w:t>
      </w:r>
      <w:r w:rsidRPr="00031898">
        <w:t>.</w:t>
      </w:r>
    </w:p>
  </w:endnote>
  <w:endnote w:id="70">
    <w:p w:rsidR="009A29F8" w:rsidRPr="00031898" w:rsidRDefault="009A29F8" w:rsidP="00336601">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er</w:t>
      </w:r>
      <w:r>
        <w:rPr>
          <w:rFonts w:cs="Arial"/>
        </w:rPr>
        <w:t xml:space="preserve"> 2724301115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29 April 2011</w:t>
      </w:r>
      <w:r w:rsidRPr="00031898">
        <w:t>.</w:t>
      </w:r>
    </w:p>
  </w:endnote>
  <w:endnote w:id="71">
    <w:p w:rsidR="009A29F8" w:rsidRPr="00031898" w:rsidRDefault="009A29F8" w:rsidP="00CB18AB">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705540115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12 November 2010</w:t>
      </w:r>
      <w:r w:rsidRPr="00031898">
        <w:t>.</w:t>
      </w:r>
    </w:p>
  </w:endnote>
  <w:endnote w:id="72">
    <w:p w:rsidR="009A29F8" w:rsidRPr="00031898" w:rsidRDefault="009A29F8" w:rsidP="00802773">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771788115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19 August 2011</w:t>
      </w:r>
      <w:r w:rsidRPr="00031898">
        <w:t>.</w:t>
      </w:r>
    </w:p>
  </w:endnote>
  <w:endnote w:id="73">
    <w:p w:rsidR="009A29F8" w:rsidRPr="00031898" w:rsidRDefault="009A29F8" w:rsidP="006104F0">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912157115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8 March 2012</w:t>
      </w:r>
      <w:r w:rsidRPr="00031898">
        <w:t>.</w:t>
      </w:r>
    </w:p>
  </w:endnote>
  <w:endnote w:id="74">
    <w:p w:rsidR="009A29F8" w:rsidRPr="00031898" w:rsidRDefault="009A29F8" w:rsidP="006104F0">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946543115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25 February 2013</w:t>
      </w:r>
      <w:r w:rsidRPr="00031898">
        <w:t>.</w:t>
      </w:r>
    </w:p>
  </w:endnote>
  <w:endnote w:id="75">
    <w:p w:rsidR="009A29F8" w:rsidRPr="00031898" w:rsidRDefault="009A29F8" w:rsidP="006104F0">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757425115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13 July 2011</w:t>
      </w:r>
      <w:r w:rsidRPr="00031898">
        <w:t>.</w:t>
      </w:r>
    </w:p>
  </w:endnote>
  <w:endnote w:id="76">
    <w:p w:rsidR="009A29F8" w:rsidRPr="00031898" w:rsidRDefault="009A29F8" w:rsidP="000C17AD">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620578115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31 July 2010</w:t>
      </w:r>
      <w:r w:rsidRPr="00031898">
        <w:t>.</w:t>
      </w:r>
    </w:p>
  </w:endnote>
  <w:endnote w:id="77">
    <w:p w:rsidR="009A29F8" w:rsidRPr="00031898" w:rsidRDefault="009A29F8" w:rsidP="00523471">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031898">
        <w:rPr>
          <w:rFonts w:cs="Arial"/>
        </w:rPr>
        <w:t>Thomson One Database,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Pr>
          <w:rStyle w:val="EndnoteReference"/>
          <w:rFonts w:cs="Arial"/>
          <w:vertAlign w:val="baseline"/>
        </w:rPr>
        <w:t>2</w:t>
      </w:r>
      <w:r>
        <w:rPr>
          <w:rFonts w:cs="Arial"/>
        </w:rPr>
        <w:t>787717115</w:t>
      </w:r>
      <w:r w:rsidRPr="00031898">
        <w:rPr>
          <w:rStyle w:val="EndnoteReference"/>
          <w:rFonts w:cs="Arial"/>
          <w:vertAlign w:val="baseline"/>
        </w:rPr>
        <w:t xml:space="preserve">”, </w:t>
      </w:r>
      <w:r w:rsidRPr="00031898">
        <w:rPr>
          <w:rStyle w:val="EndnoteReference"/>
          <w:rFonts w:cs="Arial"/>
          <w:i/>
          <w:vertAlign w:val="baseline"/>
        </w:rPr>
        <w:t>Thomson One Database</w:t>
      </w:r>
      <w:r w:rsidRPr="00031898">
        <w:rPr>
          <w:rStyle w:val="EndnoteReference"/>
          <w:vertAlign w:val="baseline"/>
        </w:rPr>
        <w:t xml:space="preserve">, </w:t>
      </w:r>
      <w:r>
        <w:t>1 October 2011</w:t>
      </w:r>
      <w:r w:rsidRPr="00031898">
        <w:t>.</w:t>
      </w:r>
    </w:p>
  </w:endnote>
  <w:endnote w:id="78">
    <w:p w:rsidR="009A29F8" w:rsidRPr="00031898" w:rsidRDefault="009A29F8" w:rsidP="00C42C19">
      <w:pPr>
        <w:pStyle w:val="EndnoteText"/>
        <w:rPr>
          <w:rStyle w:val="EndnoteReference"/>
          <w:rFonts w:cs="Arial"/>
          <w:vertAlign w:val="baseline"/>
        </w:rPr>
      </w:pPr>
      <w:r w:rsidRPr="00031898">
        <w:rPr>
          <w:rStyle w:val="EndnoteReference"/>
          <w:rFonts w:cs="Arial"/>
          <w:vertAlign w:val="baseline"/>
        </w:rPr>
        <w:endnoteRef/>
      </w:r>
      <w:r w:rsidRPr="00031898">
        <w:rPr>
          <w:rStyle w:val="EndnoteReference"/>
          <w:rFonts w:cs="Arial"/>
          <w:vertAlign w:val="baseline"/>
        </w:rPr>
        <w:t xml:space="preserve"> </w:t>
      </w:r>
      <w:r w:rsidRPr="00031898">
        <w:rPr>
          <w:rStyle w:val="EndnoteReference"/>
          <w:rFonts w:cs="Arial"/>
          <w:vertAlign w:val="baseline"/>
        </w:rPr>
        <w:tab/>
      </w:r>
      <w:r w:rsidRPr="00567D8B">
        <w:rPr>
          <w:lang w:val="en-US"/>
        </w:rPr>
        <w:t xml:space="preserve">Thomson ONE </w:t>
      </w:r>
      <w:r w:rsidRPr="00031898">
        <w:rPr>
          <w:rFonts w:cs="Arial"/>
        </w:rPr>
        <w:t>Database</w:t>
      </w:r>
      <w:r w:rsidRPr="00567D8B">
        <w:rPr>
          <w:lang w:val="en-US"/>
        </w:rPr>
        <w:t>, “</w:t>
      </w:r>
      <w:r w:rsidRPr="00031898">
        <w:rPr>
          <w:rStyle w:val="EndnoteReference"/>
          <w:rFonts w:cs="Arial"/>
          <w:vertAlign w:val="baseline"/>
        </w:rPr>
        <w:t>Tear sheet deal num</w:t>
      </w:r>
      <w:r>
        <w:rPr>
          <w:rStyle w:val="EndnoteReference"/>
          <w:rFonts w:cs="Arial"/>
          <w:vertAlign w:val="baseline"/>
        </w:rPr>
        <w:t>b</w:t>
      </w:r>
      <w:r w:rsidRPr="00031898">
        <w:rPr>
          <w:rStyle w:val="EndnoteReference"/>
          <w:rFonts w:cs="Arial"/>
          <w:vertAlign w:val="baseline"/>
        </w:rPr>
        <w:t xml:space="preserve">er </w:t>
      </w:r>
      <w:r w:rsidRPr="00567D8B">
        <w:rPr>
          <w:lang w:val="en-US"/>
        </w:rPr>
        <w:t>290153</w:t>
      </w:r>
      <w:r>
        <w:rPr>
          <w:lang w:val="en-US"/>
        </w:rPr>
        <w:t>2</w:t>
      </w:r>
      <w:r w:rsidRPr="00567D8B">
        <w:rPr>
          <w:lang w:val="en-US"/>
        </w:rPr>
        <w:t>11</w:t>
      </w:r>
      <w:r>
        <w:rPr>
          <w:lang w:val="en-US"/>
        </w:rPr>
        <w:t>5</w:t>
      </w:r>
      <w:r w:rsidRPr="00567D8B">
        <w:rPr>
          <w:lang w:val="en-US"/>
        </w:rPr>
        <w:t xml:space="preserve">”, </w:t>
      </w:r>
      <w:r w:rsidRPr="00567D8B">
        <w:rPr>
          <w:i/>
          <w:lang w:val="en-US"/>
        </w:rPr>
        <w:t xml:space="preserve">Thomson ONE </w:t>
      </w:r>
      <w:r w:rsidRPr="00584F38">
        <w:rPr>
          <w:rFonts w:cs="Arial"/>
          <w:i/>
        </w:rPr>
        <w:t>Database</w:t>
      </w:r>
      <w:r w:rsidRPr="00567D8B">
        <w:rPr>
          <w:lang w:val="en-US"/>
        </w:rPr>
        <w:t>, 2 October 2012</w:t>
      </w:r>
      <w:r>
        <w:rPr>
          <w:lang w:val="en-US"/>
        </w:rPr>
        <w:t xml:space="preserve">; </w:t>
      </w:r>
      <w:r w:rsidRPr="00567D8B">
        <w:rPr>
          <w:lang w:val="en-US"/>
        </w:rPr>
        <w:t xml:space="preserve">Wilmar International, “Repayment, extension and upsizing of syndicated term loan facility and extension of syndicated revolving credit facility”, </w:t>
      </w:r>
      <w:r w:rsidRPr="00567D8B">
        <w:rPr>
          <w:i/>
          <w:lang w:val="en-US"/>
        </w:rPr>
        <w:t>Wilmar International</w:t>
      </w:r>
      <w:r w:rsidRPr="00567D8B">
        <w:rPr>
          <w:lang w:val="en-US"/>
        </w:rPr>
        <w:t>, 2 October 2012</w:t>
      </w:r>
      <w:r w:rsidRPr="00031898">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F8" w:rsidRDefault="00E55126">
    <w:pPr>
      <w:framePr w:wrap="around" w:vAnchor="text" w:hAnchor="margin" w:xAlign="center" w:y="1"/>
    </w:pPr>
    <w:r>
      <w:fldChar w:fldCharType="begin"/>
    </w:r>
    <w:r w:rsidR="009A29F8">
      <w:instrText xml:space="preserve">PAGE  </w:instrText>
    </w:r>
    <w:r>
      <w:fldChar w:fldCharType="separate"/>
    </w:r>
    <w:r w:rsidR="00D74F7E">
      <w:rPr>
        <w:noProof/>
      </w:rPr>
      <w:t>30</w:t>
    </w:r>
    <w:r>
      <w:fldChar w:fldCharType="end"/>
    </w:r>
  </w:p>
  <w:p w:rsidR="009A29F8" w:rsidRDefault="009A29F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F8" w:rsidRDefault="009A29F8">
    <w:r>
      <w:tab/>
    </w:r>
    <w:r>
      <w:tab/>
    </w:r>
    <w:r>
      <w:tab/>
    </w:r>
    <w:r>
      <w:tab/>
      <w:t>-</w:t>
    </w:r>
    <w:r w:rsidR="00E55126">
      <w:fldChar w:fldCharType="begin"/>
    </w:r>
    <w:r>
      <w:instrText xml:space="preserve"> PAGE </w:instrText>
    </w:r>
    <w:r w:rsidR="00E55126">
      <w:fldChar w:fldCharType="separate"/>
    </w:r>
    <w:r w:rsidR="00D74F7E">
      <w:rPr>
        <w:noProof/>
      </w:rPr>
      <w:t>30</w:t>
    </w:r>
    <w:r w:rsidR="00E55126">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F8" w:rsidRDefault="009A29F8">
    <w:pPr>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F8" w:rsidRDefault="009A29F8">
    <w:pPr>
      <w:framePr w:wrap="around" w:vAnchor="text" w:hAnchor="margin" w:xAlign="center" w:y="1"/>
    </w:pPr>
    <w:r>
      <w:t>-</w:t>
    </w:r>
    <w:r w:rsidR="00E55126">
      <w:fldChar w:fldCharType="begin"/>
    </w:r>
    <w:r>
      <w:instrText xml:space="preserve">PAGE  </w:instrText>
    </w:r>
    <w:r w:rsidR="00E55126">
      <w:fldChar w:fldCharType="separate"/>
    </w:r>
    <w:r w:rsidR="00D74F7E">
      <w:rPr>
        <w:noProof/>
      </w:rPr>
      <w:t>ii</w:t>
    </w:r>
    <w:r w:rsidR="00E55126">
      <w:fldChar w:fldCharType="end"/>
    </w:r>
    <w:r>
      <w:t>-</w:t>
    </w:r>
  </w:p>
  <w:p w:rsidR="009A29F8" w:rsidRDefault="009A29F8">
    <w:pPr>
      <w:tabs>
        <w:tab w:val="center" w:pos="4485"/>
        <w:tab w:val="right" w:pos="9100"/>
      </w:tabs>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F8" w:rsidRPr="001D16AF" w:rsidRDefault="009A29F8">
    <w:pPr>
      <w:framePr w:wrap="around" w:vAnchor="text" w:hAnchor="margin" w:xAlign="center" w:y="1"/>
    </w:pPr>
    <w:r w:rsidRPr="001D16AF">
      <w:t>-</w:t>
    </w:r>
    <w:r w:rsidR="00E55126" w:rsidRPr="001D16AF">
      <w:fldChar w:fldCharType="begin"/>
    </w:r>
    <w:r w:rsidRPr="001D16AF">
      <w:instrText xml:space="preserve">PAGE  </w:instrText>
    </w:r>
    <w:r w:rsidR="00E55126" w:rsidRPr="001D16AF">
      <w:fldChar w:fldCharType="separate"/>
    </w:r>
    <w:r w:rsidR="00D74F7E">
      <w:rPr>
        <w:noProof/>
      </w:rPr>
      <w:t>32</w:t>
    </w:r>
    <w:r w:rsidR="00E55126" w:rsidRPr="001D16AF">
      <w:fldChar w:fldCharType="end"/>
    </w:r>
    <w:r w:rsidRPr="001D16AF">
      <w:t>-</w:t>
    </w:r>
  </w:p>
  <w:p w:rsidR="009A29F8" w:rsidRDefault="009A29F8">
    <w:pPr>
      <w:tabs>
        <w:tab w:val="center" w:pos="4485"/>
        <w:tab w:val="right" w:pos="9100"/>
      </w:tabs>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9F8" w:rsidRDefault="009A29F8">
      <w:r>
        <w:separator/>
      </w:r>
    </w:p>
  </w:footnote>
  <w:footnote w:type="continuationSeparator" w:id="0">
    <w:p w:rsidR="009A29F8" w:rsidRDefault="009A2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A06"/>
    <w:multiLevelType w:val="multilevel"/>
    <w:tmpl w:val="E488E5A4"/>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1">
    <w:nsid w:val="05AB26E5"/>
    <w:multiLevelType w:val="hybridMultilevel"/>
    <w:tmpl w:val="583EC412"/>
    <w:lvl w:ilvl="0" w:tplc="C832D448">
      <w:start w:val="1"/>
      <w:numFmt w:val="bullet"/>
      <w:lvlText w:val=""/>
      <w:lvlJc w:val="left"/>
      <w:pPr>
        <w:tabs>
          <w:tab w:val="num" w:pos="851"/>
        </w:tabs>
        <w:ind w:left="851"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DBD37ED"/>
    <w:multiLevelType w:val="hybridMultilevel"/>
    <w:tmpl w:val="DC6254E6"/>
    <w:lvl w:ilvl="0" w:tplc="8610AF8E">
      <w:start w:val="1"/>
      <w:numFmt w:val="decimal"/>
      <w:pStyle w:val="Tabelkop"/>
      <w:lvlText w:val="Table %1"/>
      <w:lvlJc w:val="left"/>
      <w:pPr>
        <w:tabs>
          <w:tab w:val="num" w:pos="1021"/>
        </w:tabs>
        <w:ind w:left="1021" w:hanging="1021"/>
      </w:pPr>
      <w:rPr>
        <w:rFonts w:ascii="Arial" w:hAnsi="Arial" w:hint="default"/>
        <w:b/>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3C34E84"/>
    <w:multiLevelType w:val="hybridMultilevel"/>
    <w:tmpl w:val="BBFC3910"/>
    <w:lvl w:ilvl="0" w:tplc="638C84CA">
      <w:start w:val="1"/>
      <w:numFmt w:val="bullet"/>
      <w:lvlText w:val=""/>
      <w:lvlJc w:val="left"/>
      <w:pPr>
        <w:ind w:left="720" w:hanging="360"/>
      </w:pPr>
      <w:rPr>
        <w:rFonts w:ascii="Symbol" w:hAnsi="Symbol" w:hint="default"/>
        <w:color w:val="9FCB3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4A3F15"/>
    <w:multiLevelType w:val="multilevel"/>
    <w:tmpl w:val="6B446F38"/>
    <w:lvl w:ilvl="0">
      <w:start w:val="1"/>
      <w:numFmt w:val="decimal"/>
      <w:lvlText w:val="Table %1"/>
      <w:lvlJc w:val="left"/>
      <w:pPr>
        <w:tabs>
          <w:tab w:val="num" w:pos="1021"/>
        </w:tabs>
        <w:ind w:left="1021" w:hanging="1021"/>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7A6D00"/>
    <w:multiLevelType w:val="hybridMultilevel"/>
    <w:tmpl w:val="8EB664B0"/>
    <w:lvl w:ilvl="0" w:tplc="53F8DD5E">
      <w:start w:val="1"/>
      <w:numFmt w:val="bullet"/>
      <w:pStyle w:val="Opsommin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5F223B"/>
    <w:multiLevelType w:val="hybridMultilevel"/>
    <w:tmpl w:val="501EE46A"/>
    <w:lvl w:ilvl="0" w:tplc="FFF4E346">
      <w:start w:val="1"/>
      <w:numFmt w:val="bullet"/>
      <w:lvlText w:val=""/>
      <w:lvlJc w:val="left"/>
      <w:pPr>
        <w:ind w:left="360" w:hanging="360"/>
      </w:pPr>
      <w:rPr>
        <w:rFonts w:ascii="Symbol" w:hAnsi="Symbol" w:hint="default"/>
        <w:color w:val="9FCB3B"/>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DE73058"/>
    <w:multiLevelType w:val="hybridMultilevel"/>
    <w:tmpl w:val="12386F66"/>
    <w:lvl w:ilvl="0" w:tplc="0AC4553E">
      <w:start w:val="1"/>
      <w:numFmt w:val="bullet"/>
      <w:pStyle w:val="Opsomming2"/>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3C67540"/>
    <w:multiLevelType w:val="multilevel"/>
    <w:tmpl w:val="F6EAF650"/>
    <w:lvl w:ilvl="0">
      <w:start w:val="1"/>
      <w:numFmt w:val="decimal"/>
      <w:pStyle w:val="Bijlage"/>
      <w:lvlText w:val="Appendix %1 "/>
      <w:lvlJc w:val="left"/>
      <w:pPr>
        <w:ind w:left="360" w:hanging="360"/>
      </w:pPr>
      <w:rPr>
        <w:rFonts w:hint="default"/>
      </w:rPr>
    </w:lvl>
    <w:lvl w:ilvl="1">
      <w:start w:val="1"/>
      <w:numFmt w:val="decimal"/>
      <w:lvlText w:val="%1.%2"/>
      <w:lvlJc w:val="left"/>
      <w:pPr>
        <w:tabs>
          <w:tab w:val="num" w:pos="794"/>
        </w:tabs>
      </w:pPr>
      <w:rPr>
        <w:rFonts w:cs="Times New Roman" w:hint="default"/>
      </w:rPr>
    </w:lvl>
    <w:lvl w:ilvl="2">
      <w:start w:val="1"/>
      <w:numFmt w:val="decimal"/>
      <w:lvlText w:val="%1.%2.%3"/>
      <w:lvlJc w:val="left"/>
      <w:pPr>
        <w:tabs>
          <w:tab w:val="num" w:pos="794"/>
        </w:tabs>
      </w:pPr>
      <w:rPr>
        <w:rFonts w:cs="Times New Roman" w:hint="default"/>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216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324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9">
    <w:nsid w:val="40FB1D3B"/>
    <w:multiLevelType w:val="hybridMultilevel"/>
    <w:tmpl w:val="AD980A66"/>
    <w:lvl w:ilvl="0" w:tplc="5B041DF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76E13AA"/>
    <w:multiLevelType w:val="hybridMultilevel"/>
    <w:tmpl w:val="58DC6018"/>
    <w:lvl w:ilvl="0" w:tplc="A404D7CC">
      <w:start w:val="1"/>
      <w:numFmt w:val="bullet"/>
      <w:pStyle w:val="Index1"/>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nsid w:val="599D1F79"/>
    <w:multiLevelType w:val="multilevel"/>
    <w:tmpl w:val="B686CFFA"/>
    <w:lvl w:ilvl="0">
      <w:start w:val="1"/>
      <w:numFmt w:val="decimal"/>
      <w:pStyle w:val="Heading1"/>
      <w:lvlText w:val="Chapter %1"/>
      <w:lvlJc w:val="left"/>
      <w:pPr>
        <w:ind w:left="360" w:hanging="360"/>
      </w:pPr>
      <w:rPr>
        <w:rFonts w:ascii="Arial" w:hAnsi="Arial" w:hint="default"/>
        <w:b/>
        <w:i w:val="0"/>
        <w:sz w:val="24"/>
        <w:szCs w:val="24"/>
      </w:rPr>
    </w:lvl>
    <w:lvl w:ilvl="1">
      <w:start w:val="1"/>
      <w:numFmt w:val="decimal"/>
      <w:pStyle w:val="Heading2"/>
      <w:lvlText w:val="%1.%2"/>
      <w:lvlJc w:val="left"/>
      <w:pPr>
        <w:tabs>
          <w:tab w:val="num" w:pos="851"/>
        </w:tabs>
        <w:ind w:left="851" w:hanging="851"/>
      </w:pPr>
      <w:rPr>
        <w:rFonts w:ascii="Arial" w:hAnsi="Arial" w:hint="default"/>
        <w:b/>
        <w:i w:val="0"/>
        <w:sz w:val="24"/>
        <w:szCs w:val="24"/>
      </w:rPr>
    </w:lvl>
    <w:lvl w:ilvl="2">
      <w:start w:val="1"/>
      <w:numFmt w:val="decimal"/>
      <w:pStyle w:val="Heading3"/>
      <w:lvlText w:val="%1.%2.%3"/>
      <w:lvlJc w:val="left"/>
      <w:pPr>
        <w:tabs>
          <w:tab w:val="num" w:pos="851"/>
        </w:tabs>
        <w:ind w:left="851" w:hanging="851"/>
      </w:pPr>
      <w:rPr>
        <w:rFonts w:ascii="Arial" w:hAnsi="Arial" w:hint="default"/>
        <w:b/>
        <w:i w:val="0"/>
        <w:sz w:val="22"/>
        <w:szCs w:val="22"/>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2">
    <w:nsid w:val="5ABF1294"/>
    <w:multiLevelType w:val="hybridMultilevel"/>
    <w:tmpl w:val="116E1F88"/>
    <w:lvl w:ilvl="0" w:tplc="A8AE8EAE">
      <w:start w:val="1"/>
      <w:numFmt w:val="decimal"/>
      <w:pStyle w:val="Figuurkop"/>
      <w:lvlText w:val="Figure %1"/>
      <w:lvlJc w:val="left"/>
      <w:pPr>
        <w:tabs>
          <w:tab w:val="num" w:pos="0"/>
        </w:tabs>
      </w:pPr>
      <w:rPr>
        <w:rFonts w:ascii="Arial" w:hAnsi="Arial" w:cs="Times New Roman" w:hint="default"/>
        <w:b/>
        <w:i w:val="0"/>
        <w:sz w:val="22"/>
        <w:szCs w:val="22"/>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3">
    <w:nsid w:val="5B907599"/>
    <w:multiLevelType w:val="hybridMultilevel"/>
    <w:tmpl w:val="D1D200DE"/>
    <w:lvl w:ilvl="0" w:tplc="A05682FE">
      <w:start w:val="1"/>
      <w:numFmt w:val="decimal"/>
      <w:lvlText w:val="Appendix %1"/>
      <w:lvlJc w:val="left"/>
      <w:pPr>
        <w:tabs>
          <w:tab w:val="num" w:pos="1474"/>
        </w:tabs>
        <w:ind w:left="1474" w:hanging="1474"/>
      </w:pPr>
      <w:rPr>
        <w:rFonts w:ascii="Arial" w:hAnsi="Arial" w:hint="default"/>
        <w:b/>
        <w:i w:val="0"/>
        <w:sz w:val="24"/>
        <w:szCs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660648E3"/>
    <w:multiLevelType w:val="multilevel"/>
    <w:tmpl w:val="3460A970"/>
    <w:lvl w:ilvl="0">
      <w:start w:val="1"/>
      <w:numFmt w:val="decimal"/>
      <w:lvlText w:val="Bijlage %1."/>
      <w:lvlJc w:val="left"/>
      <w:pPr>
        <w:tabs>
          <w:tab w:val="num" w:pos="1418"/>
        </w:tabs>
      </w:pPr>
      <w:rPr>
        <w:rFonts w:cs="Times New Roman" w:hint="default"/>
      </w:rPr>
    </w:lvl>
    <w:lvl w:ilvl="1">
      <w:start w:val="1"/>
      <w:numFmt w:val="decimal"/>
      <w:lvlText w:val="%1.%2."/>
      <w:lvlJc w:val="left"/>
      <w:pPr>
        <w:tabs>
          <w:tab w:val="num" w:pos="794"/>
        </w:tabs>
      </w:pPr>
      <w:rPr>
        <w:rFonts w:cs="Times New Roman" w:hint="default"/>
      </w:rPr>
    </w:lvl>
    <w:lvl w:ilvl="2">
      <w:start w:val="1"/>
      <w:numFmt w:val="decimal"/>
      <w:lvlText w:val="%1.%2.%3"/>
      <w:lvlJc w:val="left"/>
      <w:pPr>
        <w:tabs>
          <w:tab w:val="num" w:pos="794"/>
        </w:tabs>
      </w:pPr>
      <w:rPr>
        <w:rFonts w:cs="Times New Roman" w:hint="default"/>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216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324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5">
    <w:nsid w:val="6FB70077"/>
    <w:multiLevelType w:val="hybridMultilevel"/>
    <w:tmpl w:val="E0EE8A8A"/>
    <w:lvl w:ilvl="0" w:tplc="8D06B680">
      <w:start w:val="1"/>
      <w:numFmt w:val="bullet"/>
      <w:lvlText w:val=""/>
      <w:lvlJc w:val="left"/>
      <w:pPr>
        <w:ind w:left="720" w:hanging="360"/>
      </w:pPr>
      <w:rPr>
        <w:rFonts w:ascii="Symbol" w:hAnsi="Symbol" w:hint="default"/>
        <w:color w:val="9FCB3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6"/>
  </w:num>
  <w:num w:numId="5">
    <w:abstractNumId w:val="12"/>
  </w:num>
  <w:num w:numId="6">
    <w:abstractNumId w:val="2"/>
  </w:num>
  <w:num w:numId="7">
    <w:abstractNumId w:val="4"/>
  </w:num>
  <w:num w:numId="8">
    <w:abstractNumId w:val="6"/>
  </w:num>
  <w:num w:numId="9">
    <w:abstractNumId w:val="6"/>
  </w:num>
  <w:num w:numId="10">
    <w:abstractNumId w:val="6"/>
  </w:num>
  <w:num w:numId="11">
    <w:abstractNumId w:val="6"/>
  </w:num>
  <w:num w:numId="12">
    <w:abstractNumId w:val="15"/>
  </w:num>
  <w:num w:numId="13">
    <w:abstractNumId w:val="8"/>
  </w:num>
  <w:num w:numId="14">
    <w:abstractNumId w:val="11"/>
  </w:num>
  <w:num w:numId="15">
    <w:abstractNumId w:val="11"/>
  </w:num>
  <w:num w:numId="16">
    <w:abstractNumId w:val="14"/>
  </w:num>
  <w:num w:numId="17">
    <w:abstractNumId w:val="12"/>
  </w:num>
  <w:num w:numId="18">
    <w:abstractNumId w:val="10"/>
  </w:num>
  <w:num w:numId="19">
    <w:abstractNumId w:val="11"/>
  </w:num>
  <w:num w:numId="20">
    <w:abstractNumId w:val="5"/>
  </w:num>
  <w:num w:numId="21">
    <w:abstractNumId w:val="5"/>
  </w:num>
  <w:num w:numId="22">
    <w:abstractNumId w:val="5"/>
  </w:num>
  <w:num w:numId="23">
    <w:abstractNumId w:val="5"/>
  </w:num>
  <w:num w:numId="24">
    <w:abstractNumId w:val="5"/>
  </w:num>
  <w:num w:numId="25">
    <w:abstractNumId w:val="5"/>
  </w:num>
  <w:num w:numId="26">
    <w:abstractNumId w:val="2"/>
  </w:num>
  <w:num w:numId="27">
    <w:abstractNumId w:val="7"/>
  </w:num>
  <w:num w:numId="28">
    <w:abstractNumId w:val="11"/>
  </w:num>
  <w:num w:numId="29">
    <w:abstractNumId w:val="11"/>
  </w:num>
  <w:num w:numId="30">
    <w:abstractNumId w:val="11"/>
  </w:num>
  <w:num w:numId="31">
    <w:abstractNumId w:val="1"/>
  </w:num>
  <w:num w:numId="32">
    <w:abstractNumId w:val="9"/>
  </w:num>
  <w:num w:numId="33">
    <w:abstractNumId w:val="3"/>
  </w:num>
  <w:num w:numId="34">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defaultTabStop w:val="720"/>
  <w:hyphenationZone w:val="731"/>
  <w:doNotHyphenateCaps/>
  <w:drawingGridHorizontalSpacing w:val="65"/>
  <w:drawingGridVerticalSpacing w:val="44"/>
  <w:displayHorizontalDrawingGridEvery w:val="0"/>
  <w:displayVerticalDrawingGridEvery w:val="2"/>
  <w:doNotShadeFormData/>
  <w:characterSpacingControl w:val="compressPunctuation"/>
  <w:hdrShapeDefaults>
    <o:shapedefaults v:ext="edit" spidmax="10241"/>
  </w:hdrShapeDefaults>
  <w:footnotePr>
    <w:footnote w:id="-1"/>
    <w:footnote w:id="0"/>
  </w:footnotePr>
  <w:endnotePr>
    <w:numFmt w:val="decimal"/>
    <w:endnote w:id="-1"/>
    <w:endnote w:id="0"/>
    <w:endnote w:id="1"/>
  </w:endnotePr>
  <w:compat>
    <w:applyBreakingRules/>
  </w:compat>
  <w:rsids>
    <w:rsidRoot w:val="000D5FD2"/>
    <w:rsid w:val="0000288D"/>
    <w:rsid w:val="00002DB2"/>
    <w:rsid w:val="0001468E"/>
    <w:rsid w:val="00016035"/>
    <w:rsid w:val="00021D3D"/>
    <w:rsid w:val="000226F3"/>
    <w:rsid w:val="00027712"/>
    <w:rsid w:val="0003395D"/>
    <w:rsid w:val="000358D1"/>
    <w:rsid w:val="000446BF"/>
    <w:rsid w:val="0006075C"/>
    <w:rsid w:val="00062DBE"/>
    <w:rsid w:val="00082C45"/>
    <w:rsid w:val="000915A2"/>
    <w:rsid w:val="000A1999"/>
    <w:rsid w:val="000A2564"/>
    <w:rsid w:val="000B16DB"/>
    <w:rsid w:val="000C0C6F"/>
    <w:rsid w:val="000C0EF5"/>
    <w:rsid w:val="000C17AD"/>
    <w:rsid w:val="000C3229"/>
    <w:rsid w:val="000D0526"/>
    <w:rsid w:val="000D3931"/>
    <w:rsid w:val="000D5FD2"/>
    <w:rsid w:val="000F06A5"/>
    <w:rsid w:val="000F5D96"/>
    <w:rsid w:val="00104870"/>
    <w:rsid w:val="00107D5D"/>
    <w:rsid w:val="00112D32"/>
    <w:rsid w:val="001419B9"/>
    <w:rsid w:val="001439AF"/>
    <w:rsid w:val="00144DFC"/>
    <w:rsid w:val="00144FE5"/>
    <w:rsid w:val="0016229F"/>
    <w:rsid w:val="001635D0"/>
    <w:rsid w:val="001771D5"/>
    <w:rsid w:val="00183A80"/>
    <w:rsid w:val="0018560A"/>
    <w:rsid w:val="001A07DB"/>
    <w:rsid w:val="001A0DC8"/>
    <w:rsid w:val="001A11BF"/>
    <w:rsid w:val="001B2324"/>
    <w:rsid w:val="001B6CD0"/>
    <w:rsid w:val="001C3CE1"/>
    <w:rsid w:val="001D0123"/>
    <w:rsid w:val="001D0134"/>
    <w:rsid w:val="001D16AF"/>
    <w:rsid w:val="001D48CB"/>
    <w:rsid w:val="001D54A5"/>
    <w:rsid w:val="001E1E12"/>
    <w:rsid w:val="001E4267"/>
    <w:rsid w:val="001F5039"/>
    <w:rsid w:val="001F6703"/>
    <w:rsid w:val="001F6BEB"/>
    <w:rsid w:val="002025F6"/>
    <w:rsid w:val="00204D9D"/>
    <w:rsid w:val="002142C0"/>
    <w:rsid w:val="00243CCC"/>
    <w:rsid w:val="0024409E"/>
    <w:rsid w:val="002456B6"/>
    <w:rsid w:val="002578CF"/>
    <w:rsid w:val="00261A34"/>
    <w:rsid w:val="00261DAB"/>
    <w:rsid w:val="0026762F"/>
    <w:rsid w:val="00270B60"/>
    <w:rsid w:val="00271812"/>
    <w:rsid w:val="002839B3"/>
    <w:rsid w:val="00286738"/>
    <w:rsid w:val="0029532B"/>
    <w:rsid w:val="00295A37"/>
    <w:rsid w:val="002A1B13"/>
    <w:rsid w:val="002A4AAF"/>
    <w:rsid w:val="002B1EDA"/>
    <w:rsid w:val="002C274C"/>
    <w:rsid w:val="002E10C8"/>
    <w:rsid w:val="002E40AE"/>
    <w:rsid w:val="002E4CAF"/>
    <w:rsid w:val="00305DF7"/>
    <w:rsid w:val="00307CDA"/>
    <w:rsid w:val="00307F09"/>
    <w:rsid w:val="00322909"/>
    <w:rsid w:val="0032300D"/>
    <w:rsid w:val="003259AC"/>
    <w:rsid w:val="0033599C"/>
    <w:rsid w:val="00336601"/>
    <w:rsid w:val="00345C15"/>
    <w:rsid w:val="00352728"/>
    <w:rsid w:val="003561F5"/>
    <w:rsid w:val="003600EF"/>
    <w:rsid w:val="00362849"/>
    <w:rsid w:val="0038062E"/>
    <w:rsid w:val="003808F6"/>
    <w:rsid w:val="003843AC"/>
    <w:rsid w:val="003A58E5"/>
    <w:rsid w:val="003A5AE1"/>
    <w:rsid w:val="003A6B62"/>
    <w:rsid w:val="003B4E62"/>
    <w:rsid w:val="003C0DA7"/>
    <w:rsid w:val="003C4D25"/>
    <w:rsid w:val="003D45A4"/>
    <w:rsid w:val="003E1169"/>
    <w:rsid w:val="00405E9E"/>
    <w:rsid w:val="00415768"/>
    <w:rsid w:val="00435EBE"/>
    <w:rsid w:val="0043685F"/>
    <w:rsid w:val="00451ABC"/>
    <w:rsid w:val="00451D40"/>
    <w:rsid w:val="004604BA"/>
    <w:rsid w:val="00471E0C"/>
    <w:rsid w:val="004723FD"/>
    <w:rsid w:val="004859D7"/>
    <w:rsid w:val="00486E79"/>
    <w:rsid w:val="004903CC"/>
    <w:rsid w:val="00492604"/>
    <w:rsid w:val="0049652C"/>
    <w:rsid w:val="004A0F8B"/>
    <w:rsid w:val="004A35D9"/>
    <w:rsid w:val="004B238D"/>
    <w:rsid w:val="004C72E6"/>
    <w:rsid w:val="004F0858"/>
    <w:rsid w:val="004F463B"/>
    <w:rsid w:val="004F6C87"/>
    <w:rsid w:val="0050401F"/>
    <w:rsid w:val="00516193"/>
    <w:rsid w:val="00521F91"/>
    <w:rsid w:val="00523471"/>
    <w:rsid w:val="00524470"/>
    <w:rsid w:val="00540BB0"/>
    <w:rsid w:val="005411CA"/>
    <w:rsid w:val="00541251"/>
    <w:rsid w:val="00544EAC"/>
    <w:rsid w:val="00546F0A"/>
    <w:rsid w:val="00553637"/>
    <w:rsid w:val="00556B0B"/>
    <w:rsid w:val="00562135"/>
    <w:rsid w:val="00567C2B"/>
    <w:rsid w:val="005757B3"/>
    <w:rsid w:val="00582A5E"/>
    <w:rsid w:val="00584F38"/>
    <w:rsid w:val="005A123B"/>
    <w:rsid w:val="005A3D52"/>
    <w:rsid w:val="005A5B57"/>
    <w:rsid w:val="005A6A41"/>
    <w:rsid w:val="005A7965"/>
    <w:rsid w:val="005B1699"/>
    <w:rsid w:val="005E44ED"/>
    <w:rsid w:val="005E4657"/>
    <w:rsid w:val="005F6D48"/>
    <w:rsid w:val="006104F0"/>
    <w:rsid w:val="00622B52"/>
    <w:rsid w:val="00631984"/>
    <w:rsid w:val="0063322A"/>
    <w:rsid w:val="00634DB2"/>
    <w:rsid w:val="006426B1"/>
    <w:rsid w:val="00644D33"/>
    <w:rsid w:val="006516E3"/>
    <w:rsid w:val="006517BF"/>
    <w:rsid w:val="00652FBA"/>
    <w:rsid w:val="006545D4"/>
    <w:rsid w:val="0065760E"/>
    <w:rsid w:val="00687325"/>
    <w:rsid w:val="006902B4"/>
    <w:rsid w:val="00693AC7"/>
    <w:rsid w:val="00696C80"/>
    <w:rsid w:val="006971D2"/>
    <w:rsid w:val="006A5F0C"/>
    <w:rsid w:val="006A75F8"/>
    <w:rsid w:val="006B0B8C"/>
    <w:rsid w:val="006B72B2"/>
    <w:rsid w:val="006C235F"/>
    <w:rsid w:val="006C651F"/>
    <w:rsid w:val="006D72EB"/>
    <w:rsid w:val="00701B1F"/>
    <w:rsid w:val="007060CD"/>
    <w:rsid w:val="00711B74"/>
    <w:rsid w:val="00736372"/>
    <w:rsid w:val="007419B5"/>
    <w:rsid w:val="00747C4E"/>
    <w:rsid w:val="007531EC"/>
    <w:rsid w:val="00771B10"/>
    <w:rsid w:val="00777259"/>
    <w:rsid w:val="00782438"/>
    <w:rsid w:val="007843A8"/>
    <w:rsid w:val="007905FA"/>
    <w:rsid w:val="00792BA1"/>
    <w:rsid w:val="007970A2"/>
    <w:rsid w:val="007B244F"/>
    <w:rsid w:val="007D21F0"/>
    <w:rsid w:val="007D23B0"/>
    <w:rsid w:val="007E1092"/>
    <w:rsid w:val="007F1542"/>
    <w:rsid w:val="007F1ABB"/>
    <w:rsid w:val="007F6CAF"/>
    <w:rsid w:val="0080020D"/>
    <w:rsid w:val="00802773"/>
    <w:rsid w:val="00802829"/>
    <w:rsid w:val="0080339C"/>
    <w:rsid w:val="00811AB6"/>
    <w:rsid w:val="008411FC"/>
    <w:rsid w:val="00841B47"/>
    <w:rsid w:val="0084434B"/>
    <w:rsid w:val="00853EB2"/>
    <w:rsid w:val="00887051"/>
    <w:rsid w:val="008A0A6C"/>
    <w:rsid w:val="008A2679"/>
    <w:rsid w:val="008B470A"/>
    <w:rsid w:val="008C6044"/>
    <w:rsid w:val="008D65DA"/>
    <w:rsid w:val="008D7F3A"/>
    <w:rsid w:val="008E585A"/>
    <w:rsid w:val="008F1FA8"/>
    <w:rsid w:val="0090049A"/>
    <w:rsid w:val="00902867"/>
    <w:rsid w:val="00914DC5"/>
    <w:rsid w:val="009221A7"/>
    <w:rsid w:val="00927E08"/>
    <w:rsid w:val="0093621C"/>
    <w:rsid w:val="00937BA9"/>
    <w:rsid w:val="00940AC8"/>
    <w:rsid w:val="0094488D"/>
    <w:rsid w:val="009458D0"/>
    <w:rsid w:val="00950B90"/>
    <w:rsid w:val="0096079C"/>
    <w:rsid w:val="009623EF"/>
    <w:rsid w:val="00964C80"/>
    <w:rsid w:val="00972B18"/>
    <w:rsid w:val="0098143C"/>
    <w:rsid w:val="00982554"/>
    <w:rsid w:val="00982905"/>
    <w:rsid w:val="00985FAF"/>
    <w:rsid w:val="0099325D"/>
    <w:rsid w:val="00996353"/>
    <w:rsid w:val="009A061A"/>
    <w:rsid w:val="009A29F8"/>
    <w:rsid w:val="009A46A4"/>
    <w:rsid w:val="009A767D"/>
    <w:rsid w:val="009B478D"/>
    <w:rsid w:val="009B6037"/>
    <w:rsid w:val="009C4F13"/>
    <w:rsid w:val="009C7232"/>
    <w:rsid w:val="009D3419"/>
    <w:rsid w:val="009E60B5"/>
    <w:rsid w:val="009E7E72"/>
    <w:rsid w:val="00A0787B"/>
    <w:rsid w:val="00A10067"/>
    <w:rsid w:val="00A177B4"/>
    <w:rsid w:val="00A2467B"/>
    <w:rsid w:val="00A3165B"/>
    <w:rsid w:val="00A353CE"/>
    <w:rsid w:val="00A427BC"/>
    <w:rsid w:val="00A519A2"/>
    <w:rsid w:val="00A5376F"/>
    <w:rsid w:val="00A60540"/>
    <w:rsid w:val="00A72C16"/>
    <w:rsid w:val="00A94A5C"/>
    <w:rsid w:val="00AC11A1"/>
    <w:rsid w:val="00AC407D"/>
    <w:rsid w:val="00AC4146"/>
    <w:rsid w:val="00AC5EC9"/>
    <w:rsid w:val="00AD0371"/>
    <w:rsid w:val="00B00505"/>
    <w:rsid w:val="00B06FF3"/>
    <w:rsid w:val="00B10D63"/>
    <w:rsid w:val="00B26CAA"/>
    <w:rsid w:val="00B32471"/>
    <w:rsid w:val="00B42D6B"/>
    <w:rsid w:val="00B507A9"/>
    <w:rsid w:val="00B701C1"/>
    <w:rsid w:val="00B726CF"/>
    <w:rsid w:val="00B77048"/>
    <w:rsid w:val="00B84DB2"/>
    <w:rsid w:val="00B87E3E"/>
    <w:rsid w:val="00B93F1D"/>
    <w:rsid w:val="00B94BEB"/>
    <w:rsid w:val="00B95F7C"/>
    <w:rsid w:val="00B97883"/>
    <w:rsid w:val="00BA208E"/>
    <w:rsid w:val="00BA6805"/>
    <w:rsid w:val="00BA7291"/>
    <w:rsid w:val="00BB15D3"/>
    <w:rsid w:val="00BB5BC8"/>
    <w:rsid w:val="00BC3A1F"/>
    <w:rsid w:val="00BD0850"/>
    <w:rsid w:val="00BD138B"/>
    <w:rsid w:val="00BD3F44"/>
    <w:rsid w:val="00BD4417"/>
    <w:rsid w:val="00BE35CD"/>
    <w:rsid w:val="00BE5847"/>
    <w:rsid w:val="00BE70F3"/>
    <w:rsid w:val="00BE7A67"/>
    <w:rsid w:val="00C06587"/>
    <w:rsid w:val="00C100A6"/>
    <w:rsid w:val="00C20147"/>
    <w:rsid w:val="00C22C17"/>
    <w:rsid w:val="00C35D65"/>
    <w:rsid w:val="00C4031A"/>
    <w:rsid w:val="00C426C2"/>
    <w:rsid w:val="00C42BC2"/>
    <w:rsid w:val="00C42C19"/>
    <w:rsid w:val="00C54FD4"/>
    <w:rsid w:val="00C60E39"/>
    <w:rsid w:val="00C631D0"/>
    <w:rsid w:val="00C7408C"/>
    <w:rsid w:val="00C85DD3"/>
    <w:rsid w:val="00C9059B"/>
    <w:rsid w:val="00CA1058"/>
    <w:rsid w:val="00CB18AB"/>
    <w:rsid w:val="00CB2ED9"/>
    <w:rsid w:val="00CC69F1"/>
    <w:rsid w:val="00CF0ECD"/>
    <w:rsid w:val="00CF68F1"/>
    <w:rsid w:val="00CF6E65"/>
    <w:rsid w:val="00D01B52"/>
    <w:rsid w:val="00D04229"/>
    <w:rsid w:val="00D237B0"/>
    <w:rsid w:val="00D31CD5"/>
    <w:rsid w:val="00D3307F"/>
    <w:rsid w:val="00D40858"/>
    <w:rsid w:val="00D44AF8"/>
    <w:rsid w:val="00D51A67"/>
    <w:rsid w:val="00D54E01"/>
    <w:rsid w:val="00D604D9"/>
    <w:rsid w:val="00D643AD"/>
    <w:rsid w:val="00D74F7E"/>
    <w:rsid w:val="00D76129"/>
    <w:rsid w:val="00D80537"/>
    <w:rsid w:val="00D84DB8"/>
    <w:rsid w:val="00D858F0"/>
    <w:rsid w:val="00D95DF8"/>
    <w:rsid w:val="00DA2B99"/>
    <w:rsid w:val="00DA5FC3"/>
    <w:rsid w:val="00DB0140"/>
    <w:rsid w:val="00DB48F8"/>
    <w:rsid w:val="00DC7DAD"/>
    <w:rsid w:val="00DD118D"/>
    <w:rsid w:val="00DD3DD3"/>
    <w:rsid w:val="00DE22F7"/>
    <w:rsid w:val="00DE7332"/>
    <w:rsid w:val="00DF3B73"/>
    <w:rsid w:val="00E02F5C"/>
    <w:rsid w:val="00E21F41"/>
    <w:rsid w:val="00E234B0"/>
    <w:rsid w:val="00E23834"/>
    <w:rsid w:val="00E24FD2"/>
    <w:rsid w:val="00E25D14"/>
    <w:rsid w:val="00E369EC"/>
    <w:rsid w:val="00E36AC5"/>
    <w:rsid w:val="00E405C0"/>
    <w:rsid w:val="00E55126"/>
    <w:rsid w:val="00E61253"/>
    <w:rsid w:val="00E6356A"/>
    <w:rsid w:val="00E63BF0"/>
    <w:rsid w:val="00E650BB"/>
    <w:rsid w:val="00E72B75"/>
    <w:rsid w:val="00E73FF2"/>
    <w:rsid w:val="00E8285D"/>
    <w:rsid w:val="00E85A5D"/>
    <w:rsid w:val="00E85EC3"/>
    <w:rsid w:val="00E92CEA"/>
    <w:rsid w:val="00EA3F4B"/>
    <w:rsid w:val="00EA7E98"/>
    <w:rsid w:val="00EB2140"/>
    <w:rsid w:val="00EB3EE0"/>
    <w:rsid w:val="00ED1F1A"/>
    <w:rsid w:val="00EE5723"/>
    <w:rsid w:val="00EF0DA4"/>
    <w:rsid w:val="00EF2C44"/>
    <w:rsid w:val="00EF4A85"/>
    <w:rsid w:val="00F146C0"/>
    <w:rsid w:val="00F27748"/>
    <w:rsid w:val="00F424CF"/>
    <w:rsid w:val="00F427BE"/>
    <w:rsid w:val="00F50443"/>
    <w:rsid w:val="00F62A16"/>
    <w:rsid w:val="00F66257"/>
    <w:rsid w:val="00F665E2"/>
    <w:rsid w:val="00F75208"/>
    <w:rsid w:val="00F778C7"/>
    <w:rsid w:val="00F8114B"/>
    <w:rsid w:val="00F81A93"/>
    <w:rsid w:val="00F9089D"/>
    <w:rsid w:val="00FC5868"/>
    <w:rsid w:val="00FC6B73"/>
    <w:rsid w:val="00FC6C35"/>
    <w:rsid w:val="00FC76C3"/>
    <w:rsid w:val="00FE4B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76F"/>
    <w:pPr>
      <w:keepLines/>
    </w:pPr>
    <w:rPr>
      <w:rFonts w:ascii="Arial" w:hAnsi="Arial" w:cs="Arial"/>
      <w:sz w:val="22"/>
      <w:szCs w:val="22"/>
      <w:lang w:val="en-GB"/>
    </w:rPr>
  </w:style>
  <w:style w:type="paragraph" w:styleId="Heading1">
    <w:name w:val="heading 1"/>
    <w:basedOn w:val="Normal"/>
    <w:next w:val="Normal"/>
    <w:qFormat/>
    <w:rsid w:val="00BD3F44"/>
    <w:pPr>
      <w:keepNext/>
      <w:numPr>
        <w:numId w:val="30"/>
      </w:numPr>
      <w:tabs>
        <w:tab w:val="left" w:pos="1701"/>
      </w:tabs>
      <w:autoSpaceDE w:val="0"/>
      <w:autoSpaceDN w:val="0"/>
      <w:adjustRightInd w:val="0"/>
      <w:spacing w:after="240"/>
      <w:outlineLvl w:val="0"/>
    </w:pPr>
    <w:rPr>
      <w:b/>
      <w:color w:val="9FCB3B"/>
      <w:sz w:val="28"/>
      <w:szCs w:val="28"/>
    </w:rPr>
  </w:style>
  <w:style w:type="paragraph" w:styleId="Heading2">
    <w:name w:val="heading 2"/>
    <w:basedOn w:val="Normal"/>
    <w:next w:val="Normal"/>
    <w:qFormat/>
    <w:rsid w:val="00BD3F44"/>
    <w:pPr>
      <w:keepNext/>
      <w:numPr>
        <w:ilvl w:val="1"/>
        <w:numId w:val="30"/>
      </w:numPr>
      <w:spacing w:before="240" w:after="240"/>
      <w:outlineLvl w:val="1"/>
    </w:pPr>
    <w:rPr>
      <w:b/>
      <w:bCs/>
      <w:iCs/>
      <w:color w:val="9FCB3B"/>
      <w:sz w:val="24"/>
    </w:rPr>
  </w:style>
  <w:style w:type="paragraph" w:styleId="Heading3">
    <w:name w:val="heading 3"/>
    <w:basedOn w:val="Normal"/>
    <w:next w:val="Normal"/>
    <w:qFormat/>
    <w:rsid w:val="00BD3F44"/>
    <w:pPr>
      <w:keepNext/>
      <w:numPr>
        <w:ilvl w:val="2"/>
        <w:numId w:val="30"/>
      </w:numPr>
      <w:autoSpaceDE w:val="0"/>
      <w:autoSpaceDN w:val="0"/>
      <w:adjustRightInd w:val="0"/>
      <w:spacing w:before="120" w:after="120"/>
      <w:outlineLvl w:val="2"/>
    </w:pPr>
    <w:rPr>
      <w:b/>
      <w:bCs/>
      <w:color w:val="9FCB3B"/>
    </w:rPr>
  </w:style>
  <w:style w:type="paragraph" w:styleId="Heading4">
    <w:name w:val="heading 4"/>
    <w:basedOn w:val="Normal"/>
    <w:next w:val="Normal"/>
    <w:qFormat/>
    <w:rsid w:val="00486E79"/>
    <w:pPr>
      <w:keepNext/>
      <w:autoSpaceDE w:val="0"/>
      <w:autoSpaceDN w:val="0"/>
      <w:adjustRightInd w:val="0"/>
      <w:outlineLvl w:val="3"/>
    </w:pPr>
    <w:rPr>
      <w:b/>
      <w:color w:val="9FCB3B"/>
      <w:sz w:val="28"/>
      <w:szCs w:val="28"/>
    </w:rPr>
  </w:style>
  <w:style w:type="paragraph" w:styleId="Heading5">
    <w:name w:val="heading 5"/>
    <w:basedOn w:val="Normal"/>
    <w:next w:val="Normal"/>
    <w:qFormat/>
    <w:rsid w:val="00486E79"/>
    <w:pPr>
      <w:keepNext/>
      <w:autoSpaceDE w:val="0"/>
      <w:autoSpaceDN w:val="0"/>
      <w:adjustRightInd w:val="0"/>
      <w:outlineLvl w:val="4"/>
    </w:pPr>
    <w:rPr>
      <w:b/>
      <w:color w:val="000000"/>
      <w:sz w:val="32"/>
    </w:rPr>
  </w:style>
  <w:style w:type="paragraph" w:styleId="Heading6">
    <w:name w:val="heading 6"/>
    <w:basedOn w:val="Normal"/>
    <w:next w:val="Normal"/>
    <w:qFormat/>
    <w:rsid w:val="00486E79"/>
    <w:pPr>
      <w:keepNext/>
      <w:suppressAutoHyphens/>
      <w:autoSpaceDE w:val="0"/>
      <w:autoSpaceDN w:val="0"/>
      <w:adjustRightInd w:val="0"/>
      <w:outlineLvl w:val="5"/>
    </w:pPr>
    <w:rPr>
      <w:b/>
      <w:color w:val="000000"/>
    </w:rPr>
  </w:style>
  <w:style w:type="paragraph" w:styleId="Heading7">
    <w:name w:val="heading 7"/>
    <w:basedOn w:val="Normal"/>
    <w:next w:val="Normal"/>
    <w:qFormat/>
    <w:rsid w:val="00486E79"/>
    <w:pPr>
      <w:keepNext/>
      <w:suppressAutoHyphens/>
      <w:autoSpaceDE w:val="0"/>
      <w:autoSpaceDN w:val="0"/>
      <w:adjustRightInd w:val="0"/>
      <w:spacing w:before="97" w:after="58"/>
      <w:outlineLvl w:val="6"/>
    </w:pPr>
    <w:rPr>
      <w:b/>
      <w:color w:val="000000"/>
      <w:sz w:val="20"/>
    </w:rPr>
  </w:style>
  <w:style w:type="paragraph" w:styleId="Heading8">
    <w:name w:val="heading 8"/>
    <w:basedOn w:val="Normal"/>
    <w:next w:val="Normal"/>
    <w:qFormat/>
    <w:rsid w:val="00486E79"/>
    <w:pPr>
      <w:keepNext/>
      <w:autoSpaceDE w:val="0"/>
      <w:autoSpaceDN w:val="0"/>
      <w:adjustRightInd w:val="0"/>
      <w:jc w:val="center"/>
      <w:outlineLvl w:val="7"/>
    </w:pPr>
    <w:rPr>
      <w:b/>
      <w:color w:val="000000"/>
      <w:sz w:val="28"/>
    </w:rPr>
  </w:style>
  <w:style w:type="paragraph" w:styleId="Heading9">
    <w:name w:val="heading 9"/>
    <w:basedOn w:val="Normal"/>
    <w:next w:val="Normal"/>
    <w:qFormat/>
    <w:rsid w:val="00486E79"/>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jlage">
    <w:name w:val="Bijlage"/>
    <w:basedOn w:val="Normal"/>
    <w:next w:val="Normal"/>
    <w:rsid w:val="00BD3F44"/>
    <w:pPr>
      <w:numPr>
        <w:numId w:val="13"/>
      </w:numPr>
      <w:tabs>
        <w:tab w:val="left" w:pos="1701"/>
      </w:tabs>
      <w:spacing w:after="240"/>
      <w:ind w:left="1701" w:hanging="1701"/>
    </w:pPr>
    <w:rPr>
      <w:rFonts w:cs="Times New Roman"/>
      <w:b/>
      <w:color w:val="9FCB3B"/>
      <w:sz w:val="28"/>
      <w:szCs w:val="28"/>
    </w:rPr>
  </w:style>
  <w:style w:type="paragraph" w:styleId="Header">
    <w:name w:val="header"/>
    <w:basedOn w:val="Normal"/>
    <w:rsid w:val="00486E79"/>
    <w:pPr>
      <w:tabs>
        <w:tab w:val="center" w:pos="4536"/>
        <w:tab w:val="right" w:pos="9072"/>
      </w:tabs>
    </w:pPr>
  </w:style>
  <w:style w:type="character" w:styleId="EndnoteReference">
    <w:name w:val="endnote reference"/>
    <w:rsid w:val="00486E79"/>
    <w:rPr>
      <w:rFonts w:cs="Times New Roman"/>
      <w:vertAlign w:val="superscript"/>
    </w:rPr>
  </w:style>
  <w:style w:type="paragraph" w:styleId="EndnoteText">
    <w:name w:val="endnote text"/>
    <w:basedOn w:val="Normal"/>
    <w:link w:val="EndnoteTextChar"/>
    <w:rsid w:val="00FC76C3"/>
    <w:pPr>
      <w:tabs>
        <w:tab w:val="left" w:pos="454"/>
      </w:tabs>
      <w:spacing w:before="120" w:after="120"/>
      <w:ind w:left="454" w:hanging="454"/>
    </w:pPr>
    <w:rPr>
      <w:rFonts w:cs="Times New Roman"/>
      <w:sz w:val="18"/>
      <w:szCs w:val="18"/>
    </w:rPr>
  </w:style>
  <w:style w:type="character" w:styleId="FollowedHyperlink">
    <w:name w:val="FollowedHyperlink"/>
    <w:rsid w:val="00486E79"/>
    <w:rPr>
      <w:rFonts w:cs="Times New Roman"/>
      <w:color w:val="800080"/>
      <w:u w:val="single"/>
    </w:rPr>
  </w:style>
  <w:style w:type="character" w:styleId="Hyperlink">
    <w:name w:val="Hyperlink"/>
    <w:uiPriority w:val="99"/>
    <w:rsid w:val="00486E79"/>
    <w:rPr>
      <w:rFonts w:cs="Times New Roman"/>
      <w:color w:val="0000FF"/>
      <w:u w:val="single"/>
    </w:rPr>
  </w:style>
  <w:style w:type="paragraph" w:styleId="Index1">
    <w:name w:val="index 1"/>
    <w:basedOn w:val="Normal"/>
    <w:next w:val="Normal"/>
    <w:autoRedefine/>
    <w:semiHidden/>
    <w:rsid w:val="00486E79"/>
    <w:pPr>
      <w:numPr>
        <w:numId w:val="18"/>
      </w:numPr>
      <w:spacing w:before="120" w:after="60"/>
    </w:pPr>
    <w:rPr>
      <w:b/>
    </w:rPr>
  </w:style>
  <w:style w:type="paragraph" w:styleId="Index2">
    <w:name w:val="index 2"/>
    <w:basedOn w:val="Normal"/>
    <w:next w:val="Normal"/>
    <w:autoRedefine/>
    <w:semiHidden/>
    <w:rsid w:val="00486E79"/>
    <w:pPr>
      <w:ind w:left="284"/>
    </w:pPr>
  </w:style>
  <w:style w:type="paragraph" w:styleId="TOC1">
    <w:name w:val="toc 1"/>
    <w:basedOn w:val="Normal"/>
    <w:next w:val="Normal"/>
    <w:autoRedefine/>
    <w:uiPriority w:val="39"/>
    <w:rsid w:val="00486E79"/>
    <w:pPr>
      <w:tabs>
        <w:tab w:val="left" w:pos="1758"/>
        <w:tab w:val="right" w:leader="dot" w:pos="9072"/>
      </w:tabs>
      <w:spacing w:before="120" w:after="120"/>
    </w:pPr>
    <w:rPr>
      <w:rFonts w:cs="Times New Roman"/>
      <w:b/>
      <w:sz w:val="24"/>
      <w:szCs w:val="24"/>
    </w:rPr>
  </w:style>
  <w:style w:type="paragraph" w:styleId="TOC2">
    <w:name w:val="toc 2"/>
    <w:basedOn w:val="Normal"/>
    <w:next w:val="Normal"/>
    <w:autoRedefine/>
    <w:uiPriority w:val="39"/>
    <w:rsid w:val="00486E79"/>
    <w:pPr>
      <w:tabs>
        <w:tab w:val="right" w:leader="dot" w:pos="9072"/>
      </w:tabs>
      <w:spacing w:before="60" w:after="60"/>
      <w:ind w:left="1758" w:hanging="737"/>
    </w:pPr>
    <w:rPr>
      <w:rFonts w:cs="Times New Roman"/>
      <w:b/>
    </w:rPr>
  </w:style>
  <w:style w:type="paragraph" w:styleId="TOC3">
    <w:name w:val="toc 3"/>
    <w:basedOn w:val="TOC2"/>
    <w:next w:val="Normal"/>
    <w:autoRedefine/>
    <w:uiPriority w:val="39"/>
    <w:rsid w:val="00486E79"/>
    <w:pPr>
      <w:spacing w:before="40" w:after="40"/>
    </w:pPr>
    <w:rPr>
      <w:b w:val="0"/>
    </w:rPr>
  </w:style>
  <w:style w:type="paragraph" w:styleId="TOC4">
    <w:name w:val="toc 4"/>
    <w:basedOn w:val="Normal"/>
    <w:next w:val="Normal"/>
    <w:autoRedefine/>
    <w:uiPriority w:val="39"/>
    <w:rsid w:val="00415768"/>
    <w:pPr>
      <w:tabs>
        <w:tab w:val="right" w:leader="dot" w:pos="9072"/>
      </w:tabs>
      <w:spacing w:before="120" w:after="120"/>
    </w:pPr>
    <w:rPr>
      <w:rFonts w:cs="Times New Roman"/>
      <w:b/>
      <w:sz w:val="24"/>
      <w:szCs w:val="24"/>
    </w:rPr>
  </w:style>
  <w:style w:type="paragraph" w:customStyle="1" w:styleId="Inspringing2">
    <w:name w:val="Inspringing 2"/>
    <w:basedOn w:val="Normal"/>
    <w:link w:val="Inspringing2Char"/>
    <w:rsid w:val="00BD3F44"/>
    <w:pPr>
      <w:ind w:left="284"/>
    </w:pPr>
    <w:rPr>
      <w:rFonts w:cs="Times New Roman"/>
      <w:lang/>
    </w:rPr>
  </w:style>
  <w:style w:type="paragraph" w:customStyle="1" w:styleId="Inspringing3">
    <w:name w:val="Inspringing 3"/>
    <w:basedOn w:val="Normal"/>
    <w:rsid w:val="00486E79"/>
    <w:pPr>
      <w:ind w:left="567"/>
    </w:pPr>
    <w:rPr>
      <w:bCs/>
    </w:rPr>
  </w:style>
  <w:style w:type="paragraph" w:customStyle="1" w:styleId="Inspringing4">
    <w:name w:val="Inspringing 4"/>
    <w:basedOn w:val="Normal"/>
    <w:rsid w:val="00486E79"/>
    <w:pPr>
      <w:ind w:left="851"/>
    </w:pPr>
    <w:rPr>
      <w:bCs/>
    </w:rPr>
  </w:style>
  <w:style w:type="paragraph" w:customStyle="1" w:styleId="Inspringing5">
    <w:name w:val="Inspringing 5"/>
    <w:basedOn w:val="Normal"/>
    <w:rsid w:val="00486E79"/>
    <w:pPr>
      <w:ind w:left="1134"/>
    </w:pPr>
    <w:rPr>
      <w:rFonts w:cs="Times New Roman"/>
    </w:rPr>
  </w:style>
  <w:style w:type="paragraph" w:customStyle="1" w:styleId="Opsomming1">
    <w:name w:val="Opsomming 1"/>
    <w:basedOn w:val="Normal"/>
    <w:qFormat/>
    <w:rsid w:val="00486E79"/>
    <w:pPr>
      <w:numPr>
        <w:numId w:val="25"/>
      </w:numPr>
      <w:tabs>
        <w:tab w:val="left" w:pos="284"/>
        <w:tab w:val="right" w:pos="6804"/>
        <w:tab w:val="right" w:pos="8505"/>
      </w:tabs>
      <w:ind w:left="284" w:hanging="284"/>
    </w:pPr>
    <w:rPr>
      <w:b/>
    </w:rPr>
  </w:style>
  <w:style w:type="paragraph" w:styleId="BalloonText">
    <w:name w:val="Balloon Text"/>
    <w:basedOn w:val="Normal"/>
    <w:link w:val="BalloonTextChar"/>
    <w:rsid w:val="00A5376F"/>
    <w:rPr>
      <w:rFonts w:ascii="Tahoma" w:hAnsi="Tahoma" w:cs="Tahoma"/>
      <w:sz w:val="16"/>
      <w:szCs w:val="16"/>
    </w:rPr>
  </w:style>
  <w:style w:type="paragraph" w:customStyle="1" w:styleId="Opsomming2">
    <w:name w:val="Opsomming 2"/>
    <w:basedOn w:val="Opsomming1"/>
    <w:link w:val="Opsomming2CharChar"/>
    <w:qFormat/>
    <w:rsid w:val="00486E79"/>
    <w:pPr>
      <w:numPr>
        <w:numId w:val="27"/>
      </w:numPr>
      <w:ind w:left="284" w:hanging="284"/>
    </w:pPr>
    <w:rPr>
      <w:b w:val="0"/>
    </w:rPr>
  </w:style>
  <w:style w:type="paragraph" w:customStyle="1" w:styleId="Opsomming3">
    <w:name w:val="Opsomming 3"/>
    <w:basedOn w:val="Opsomming2"/>
    <w:link w:val="Opsomming3CharChar"/>
    <w:qFormat/>
    <w:rsid w:val="00486E79"/>
    <w:pPr>
      <w:tabs>
        <w:tab w:val="clear" w:pos="284"/>
        <w:tab w:val="left" w:pos="567"/>
      </w:tabs>
      <w:ind w:left="567" w:hanging="283"/>
    </w:pPr>
  </w:style>
  <w:style w:type="paragraph" w:customStyle="1" w:styleId="Opsomming4">
    <w:name w:val="Opsomming 4"/>
    <w:basedOn w:val="Opsomming3"/>
    <w:rsid w:val="00486E79"/>
    <w:pPr>
      <w:tabs>
        <w:tab w:val="clear" w:pos="567"/>
        <w:tab w:val="left" w:pos="851"/>
      </w:tabs>
      <w:ind w:left="851"/>
    </w:pPr>
  </w:style>
  <w:style w:type="character" w:styleId="PageNumber">
    <w:name w:val="page number"/>
    <w:rsid w:val="00486E79"/>
    <w:rPr>
      <w:color w:val="585855"/>
      <w:lang w:val="nl-NL"/>
    </w:rPr>
  </w:style>
  <w:style w:type="paragraph" w:customStyle="1" w:styleId="Tabelkop">
    <w:name w:val="Tabelkop"/>
    <w:basedOn w:val="Normal"/>
    <w:next w:val="Normal"/>
    <w:autoRedefine/>
    <w:qFormat/>
    <w:rsid w:val="00415768"/>
    <w:pPr>
      <w:keepNext/>
      <w:numPr>
        <w:numId w:val="26"/>
      </w:numPr>
      <w:spacing w:before="120" w:after="120"/>
      <w:jc w:val="center"/>
    </w:pPr>
    <w:rPr>
      <w:b/>
      <w:bCs/>
      <w:color w:val="9FCB3B"/>
      <w:szCs w:val="24"/>
    </w:rPr>
  </w:style>
  <w:style w:type="paragraph" w:customStyle="1" w:styleId="Opsomming5">
    <w:name w:val="Opsomming 5"/>
    <w:basedOn w:val="Opsomming4"/>
    <w:rsid w:val="00486E79"/>
    <w:pPr>
      <w:tabs>
        <w:tab w:val="clear" w:pos="851"/>
        <w:tab w:val="left" w:pos="1134"/>
      </w:tabs>
      <w:ind w:left="1134"/>
    </w:pPr>
  </w:style>
  <w:style w:type="paragraph" w:customStyle="1" w:styleId="Tabelbron">
    <w:name w:val="Tabelbron"/>
    <w:basedOn w:val="Normal"/>
    <w:qFormat/>
    <w:rsid w:val="00E650BB"/>
    <w:pPr>
      <w:spacing w:before="120"/>
      <w:jc w:val="center"/>
    </w:pPr>
    <w:rPr>
      <w:color w:val="585855"/>
      <w:sz w:val="16"/>
    </w:rPr>
  </w:style>
  <w:style w:type="paragraph" w:customStyle="1" w:styleId="Opsomming6">
    <w:name w:val="Opsomming 6"/>
    <w:basedOn w:val="Opsomming5"/>
    <w:rsid w:val="00486E79"/>
    <w:pPr>
      <w:tabs>
        <w:tab w:val="clear" w:pos="1134"/>
        <w:tab w:val="left" w:pos="1418"/>
      </w:tabs>
      <w:ind w:left="1418" w:hanging="284"/>
    </w:pPr>
  </w:style>
  <w:style w:type="paragraph" w:customStyle="1" w:styleId="Tabeltekst">
    <w:name w:val="Tabeltekst"/>
    <w:basedOn w:val="Normal"/>
    <w:next w:val="Normal"/>
    <w:qFormat/>
    <w:rsid w:val="006B0B8C"/>
    <w:rPr>
      <w:color w:val="585855"/>
      <w:sz w:val="20"/>
      <w:szCs w:val="20"/>
    </w:rPr>
  </w:style>
  <w:style w:type="paragraph" w:styleId="NormalIndent">
    <w:name w:val="Normal Indent"/>
    <w:basedOn w:val="Normal"/>
    <w:rsid w:val="00435EBE"/>
    <w:pPr>
      <w:ind w:left="708"/>
    </w:pPr>
  </w:style>
  <w:style w:type="paragraph" w:styleId="Footer">
    <w:name w:val="footer"/>
    <w:basedOn w:val="Normal"/>
    <w:link w:val="FooterChar"/>
    <w:rsid w:val="00486E79"/>
    <w:pPr>
      <w:tabs>
        <w:tab w:val="center" w:pos="4536"/>
        <w:tab w:val="right" w:pos="9072"/>
      </w:tabs>
      <w:autoSpaceDE w:val="0"/>
      <w:autoSpaceDN w:val="0"/>
      <w:adjustRightInd w:val="0"/>
    </w:pPr>
    <w:rPr>
      <w:bCs/>
    </w:rPr>
  </w:style>
  <w:style w:type="character" w:customStyle="1" w:styleId="BalloonTextChar">
    <w:name w:val="Balloon Text Char"/>
    <w:link w:val="BalloonText"/>
    <w:rsid w:val="00A5376F"/>
    <w:rPr>
      <w:rFonts w:ascii="Tahoma" w:hAnsi="Tahoma" w:cs="Tahoma"/>
      <w:sz w:val="16"/>
      <w:szCs w:val="16"/>
      <w:lang w:val="en-GB"/>
    </w:rPr>
  </w:style>
  <w:style w:type="character" w:customStyle="1" w:styleId="ProfundoGrijsRGB88">
    <w:name w:val="Profundo Grijs (RGB 88"/>
    <w:aliases w:val="88,85)"/>
    <w:rsid w:val="00982905"/>
    <w:rPr>
      <w:color w:val="585855"/>
    </w:rPr>
  </w:style>
  <w:style w:type="character" w:customStyle="1" w:styleId="ProfundoGroenRGB159">
    <w:name w:val="Profundo Groen (RGB159"/>
    <w:aliases w:val="203,59)"/>
    <w:rsid w:val="00982905"/>
    <w:rPr>
      <w:color w:val="9FCB3B"/>
    </w:rPr>
  </w:style>
  <w:style w:type="character" w:customStyle="1" w:styleId="FooterChar">
    <w:name w:val="Footer Char"/>
    <w:link w:val="Footer"/>
    <w:rsid w:val="001D16AF"/>
    <w:rPr>
      <w:rFonts w:ascii="Arial" w:hAnsi="Arial" w:cs="Arial"/>
      <w:bCs/>
      <w:sz w:val="22"/>
      <w:szCs w:val="22"/>
      <w:lang w:val="en-GB"/>
    </w:rPr>
  </w:style>
  <w:style w:type="table" w:customStyle="1" w:styleId="Profundo">
    <w:name w:val="Profundo"/>
    <w:basedOn w:val="TableNormal"/>
    <w:uiPriority w:val="99"/>
    <w:rsid w:val="00E650BB"/>
    <w:pPr>
      <w:jc w:val="right"/>
    </w:pPr>
    <w:rPr>
      <w:rFonts w:ascii="Arial" w:hAnsi="Arial"/>
      <w:color w:val="585855"/>
    </w:rPr>
    <w:tblPr>
      <w:tblStyleColBandSize w:val="1"/>
      <w:jc w:val="center"/>
      <w:tblInd w:w="0" w:type="dxa"/>
      <w:tblBorders>
        <w:top w:val="single" w:sz="4" w:space="0" w:color="9FCB3B"/>
        <w:bottom w:val="single" w:sz="4" w:space="0" w:color="9FCB3B"/>
        <w:insideV w:val="single" w:sz="4" w:space="0" w:color="9FCB3B"/>
      </w:tblBorders>
      <w:tblCellMar>
        <w:top w:w="57" w:type="dxa"/>
        <w:left w:w="57" w:type="dxa"/>
        <w:bottom w:w="57" w:type="dxa"/>
        <w:right w:w="57" w:type="dxa"/>
      </w:tblCellMar>
    </w:tblPr>
    <w:trPr>
      <w:jc w:val="center"/>
    </w:trPr>
    <w:tcPr>
      <w:vAlign w:val="center"/>
    </w:tcPr>
    <w:tblStylePr w:type="firstRow">
      <w:rPr>
        <w:rFonts w:ascii="Arial" w:hAnsi="Arial"/>
        <w:b/>
        <w:sz w:val="20"/>
      </w:rPr>
      <w:tblPr/>
      <w:tcPr>
        <w:tcBorders>
          <w:bottom w:val="single" w:sz="4" w:space="0" w:color="9FCB3B"/>
        </w:tcBorders>
      </w:tcPr>
    </w:tblStylePr>
    <w:tblStylePr w:type="lastRow">
      <w:rPr>
        <w:rFonts w:ascii="Arial" w:hAnsi="Arial"/>
        <w:sz w:val="20"/>
      </w:rPr>
    </w:tblStylePr>
    <w:tblStylePr w:type="firstCol">
      <w:pPr>
        <w:jc w:val="left"/>
      </w:pPr>
      <w:rPr>
        <w:rFonts w:ascii="Arial" w:hAnsi="Arial"/>
        <w:sz w:val="20"/>
      </w:rPr>
    </w:tblStylePr>
    <w:tblStylePr w:type="lastCol">
      <w:pPr>
        <w:jc w:val="right"/>
      </w:pPr>
    </w:tblStylePr>
  </w:style>
  <w:style w:type="character" w:customStyle="1" w:styleId="EndnoteTextChar">
    <w:name w:val="Endnote Text Char"/>
    <w:link w:val="EndnoteText"/>
    <w:locked/>
    <w:rsid w:val="00FC76C3"/>
    <w:rPr>
      <w:rFonts w:ascii="Arial" w:hAnsi="Arial"/>
      <w:sz w:val="18"/>
      <w:szCs w:val="18"/>
      <w:lang w:val="en-GB"/>
    </w:rPr>
  </w:style>
  <w:style w:type="character" w:customStyle="1" w:styleId="EindnoottekstChar1">
    <w:name w:val="Eindnoottekst Char1"/>
    <w:rsid w:val="00486E79"/>
    <w:rPr>
      <w:rFonts w:ascii="Arial" w:hAnsi="Arial"/>
      <w:sz w:val="18"/>
      <w:szCs w:val="18"/>
      <w:lang w:val="nl-NL" w:eastAsia="nl-NL" w:bidi="ar-SA"/>
    </w:rPr>
  </w:style>
  <w:style w:type="paragraph" w:customStyle="1" w:styleId="Figuurbron">
    <w:name w:val="Figuurbron"/>
    <w:basedOn w:val="Tabelbron"/>
    <w:qFormat/>
    <w:rsid w:val="00BD3F44"/>
  </w:style>
  <w:style w:type="paragraph" w:customStyle="1" w:styleId="Figuurkop">
    <w:name w:val="Figuurkop"/>
    <w:basedOn w:val="Normal"/>
    <w:next w:val="Normal"/>
    <w:rsid w:val="00415768"/>
    <w:pPr>
      <w:keepLines w:val="0"/>
      <w:numPr>
        <w:numId w:val="17"/>
      </w:numPr>
      <w:spacing w:before="120" w:after="120"/>
      <w:ind w:left="1021" w:hanging="1021"/>
      <w:jc w:val="center"/>
    </w:pPr>
    <w:rPr>
      <w:b/>
      <w:color w:val="9FCB3B"/>
      <w:szCs w:val="20"/>
    </w:rPr>
  </w:style>
  <w:style w:type="character" w:customStyle="1" w:styleId="Inspringing2Char">
    <w:name w:val="Inspringing 2 Char"/>
    <w:link w:val="Inspringing2"/>
    <w:rsid w:val="00BD3F44"/>
    <w:rPr>
      <w:rFonts w:ascii="Arial" w:hAnsi="Arial"/>
      <w:sz w:val="22"/>
      <w:szCs w:val="22"/>
      <w:lang w:val="en-GB"/>
    </w:rPr>
  </w:style>
  <w:style w:type="paragraph" w:styleId="BodyText">
    <w:name w:val="Body Text"/>
    <w:basedOn w:val="Normal"/>
    <w:link w:val="BodyTextChar"/>
    <w:rsid w:val="00486E79"/>
    <w:pPr>
      <w:spacing w:after="120"/>
    </w:pPr>
  </w:style>
  <w:style w:type="character" w:customStyle="1" w:styleId="BodyTextChar">
    <w:name w:val="Body Text Char"/>
    <w:link w:val="BodyText"/>
    <w:rsid w:val="00486E79"/>
    <w:rPr>
      <w:rFonts w:ascii="Arial" w:hAnsi="Arial" w:cs="Arial"/>
      <w:sz w:val="22"/>
      <w:szCs w:val="22"/>
      <w:lang w:val="en-GB"/>
    </w:rPr>
  </w:style>
  <w:style w:type="paragraph" w:styleId="List">
    <w:name w:val="List"/>
    <w:basedOn w:val="BodyText"/>
    <w:rsid w:val="00486E79"/>
    <w:pPr>
      <w:keepLines w:val="0"/>
      <w:widowControl w:val="0"/>
      <w:suppressAutoHyphens/>
    </w:pPr>
    <w:rPr>
      <w:rFonts w:ascii="Times New Roman" w:hAnsi="Times New Roman" w:cs="Tahoma"/>
      <w:kern w:val="1"/>
      <w:sz w:val="24"/>
      <w:szCs w:val="24"/>
      <w:lang w:val="en-US"/>
    </w:rPr>
  </w:style>
  <w:style w:type="paragraph" w:styleId="ListParagraph">
    <w:name w:val="List Paragraph"/>
    <w:basedOn w:val="Normal"/>
    <w:uiPriority w:val="34"/>
    <w:qFormat/>
    <w:rsid w:val="00486E79"/>
    <w:pPr>
      <w:keepLines w:val="0"/>
      <w:ind w:left="720"/>
      <w:contextualSpacing/>
    </w:pPr>
    <w:rPr>
      <w:rFonts w:cs="Times New Roman"/>
    </w:rPr>
  </w:style>
  <w:style w:type="paragraph" w:styleId="CommentText">
    <w:name w:val="annotation text"/>
    <w:basedOn w:val="Normal"/>
    <w:link w:val="CommentTextChar"/>
    <w:rsid w:val="00486E79"/>
    <w:rPr>
      <w:sz w:val="20"/>
      <w:szCs w:val="20"/>
    </w:rPr>
  </w:style>
  <w:style w:type="character" w:customStyle="1" w:styleId="CommentTextChar">
    <w:name w:val="Comment Text Char"/>
    <w:link w:val="CommentText"/>
    <w:rsid w:val="00486E79"/>
    <w:rPr>
      <w:rFonts w:ascii="Arial" w:hAnsi="Arial" w:cs="Arial"/>
      <w:lang w:val="en-GB"/>
    </w:rPr>
  </w:style>
  <w:style w:type="paragraph" w:styleId="CommentSubject">
    <w:name w:val="annotation subject"/>
    <w:basedOn w:val="CommentText"/>
    <w:next w:val="CommentText"/>
    <w:link w:val="CommentSubjectChar"/>
    <w:rsid w:val="00486E79"/>
    <w:rPr>
      <w:b/>
      <w:bCs/>
    </w:rPr>
  </w:style>
  <w:style w:type="character" w:customStyle="1" w:styleId="CommentSubjectChar">
    <w:name w:val="Comment Subject Char"/>
    <w:link w:val="CommentSubject"/>
    <w:rsid w:val="00486E79"/>
    <w:rPr>
      <w:rFonts w:ascii="Arial" w:hAnsi="Arial" w:cs="Arial"/>
      <w:b/>
      <w:bCs/>
      <w:lang w:val="en-GB"/>
    </w:rPr>
  </w:style>
  <w:style w:type="character" w:customStyle="1" w:styleId="Opsomming2CharChar">
    <w:name w:val="Opsomming 2 Char Char"/>
    <w:link w:val="Opsomming2"/>
    <w:locked/>
    <w:rsid w:val="00486E79"/>
    <w:rPr>
      <w:rFonts w:ascii="Arial" w:hAnsi="Arial" w:cs="Arial"/>
      <w:sz w:val="22"/>
      <w:szCs w:val="22"/>
      <w:lang w:val="en-GB"/>
    </w:rPr>
  </w:style>
  <w:style w:type="character" w:customStyle="1" w:styleId="Opsomming3CharChar">
    <w:name w:val="Opsomming 3 Char Char"/>
    <w:link w:val="Opsomming3"/>
    <w:locked/>
    <w:rsid w:val="00486E79"/>
    <w:rPr>
      <w:rFonts w:ascii="Arial" w:hAnsi="Arial" w:cs="Arial"/>
      <w:sz w:val="22"/>
      <w:szCs w:val="22"/>
      <w:lang w:val="en-GB"/>
    </w:rPr>
  </w:style>
  <w:style w:type="character" w:customStyle="1" w:styleId="Opsomming3Char">
    <w:name w:val="Opsomming 3 Char"/>
    <w:rsid w:val="00486E79"/>
    <w:rPr>
      <w:rFonts w:ascii="Arial" w:hAnsi="Arial" w:cs="Arial"/>
      <w:sz w:val="22"/>
      <w:szCs w:val="22"/>
      <w:lang w:val="nl-NL" w:eastAsia="nl-NL" w:bidi="ar-SA"/>
    </w:rPr>
  </w:style>
  <w:style w:type="character" w:styleId="CommentReference">
    <w:name w:val="annotation reference"/>
    <w:rsid w:val="00486E79"/>
    <w:rPr>
      <w:sz w:val="16"/>
      <w:szCs w:val="16"/>
    </w:rPr>
  </w:style>
  <w:style w:type="character" w:styleId="FootnoteReference">
    <w:name w:val="footnote reference"/>
    <w:rsid w:val="00486E79"/>
    <w:rPr>
      <w:rFonts w:cs="Times New Roman"/>
      <w:vertAlign w:val="superscript"/>
    </w:rPr>
  </w:style>
  <w:style w:type="paragraph" w:styleId="FootnoteText">
    <w:name w:val="footnote text"/>
    <w:basedOn w:val="Normal"/>
    <w:link w:val="FootnoteTextChar"/>
    <w:rsid w:val="00486E79"/>
    <w:pPr>
      <w:tabs>
        <w:tab w:val="left" w:pos="284"/>
      </w:tabs>
      <w:ind w:left="284" w:hanging="284"/>
    </w:pPr>
    <w:rPr>
      <w:sz w:val="18"/>
      <w:szCs w:val="20"/>
    </w:rPr>
  </w:style>
  <w:style w:type="character" w:customStyle="1" w:styleId="FootnoteTextChar">
    <w:name w:val="Footnote Text Char"/>
    <w:link w:val="FootnoteText"/>
    <w:rsid w:val="00486E79"/>
    <w:rPr>
      <w:rFonts w:ascii="Arial" w:hAnsi="Arial" w:cs="Arial"/>
      <w:sz w:val="18"/>
      <w:lang w:val="en-GB"/>
    </w:rPr>
  </w:style>
  <w:style w:type="paragraph" w:customStyle="1" w:styleId="Diepeinspringing">
    <w:name w:val="Diepe inspringing"/>
    <w:basedOn w:val="Normal"/>
    <w:rsid w:val="000D5FD2"/>
    <w:pPr>
      <w:tabs>
        <w:tab w:val="left" w:pos="2552"/>
      </w:tabs>
      <w:ind w:left="2552" w:hanging="2552"/>
    </w:pPr>
    <w:rPr>
      <w:lang w:val="nl-NL"/>
    </w:rPr>
  </w:style>
  <w:style w:type="table" w:styleId="TableGrid">
    <w:name w:val="Table Grid"/>
    <w:basedOn w:val="TableNormal"/>
    <w:rsid w:val="0018560A"/>
    <w:pPr>
      <w:keepLines/>
    </w:pPr>
    <w:rPr>
      <w:rFonts w:ascii="Arial" w:hAnsi="Arial"/>
    </w:rPr>
    <w:tblPr>
      <w:jc w:val="center"/>
      <w:tblInd w:w="0" w:type="dxa"/>
      <w:tblBorders>
        <w:top w:val="single" w:sz="8" w:space="0" w:color="9BBB59"/>
        <w:bottom w:val="single" w:sz="8" w:space="0" w:color="9BBB59"/>
        <w:insideV w:val="single" w:sz="8" w:space="0" w:color="9BBB59"/>
      </w:tblBorders>
      <w:tblCellMar>
        <w:top w:w="57" w:type="dxa"/>
        <w:left w:w="57" w:type="dxa"/>
        <w:bottom w:w="57" w:type="dxa"/>
        <w:right w:w="57" w:type="dxa"/>
      </w:tblCellMar>
    </w:tblPr>
    <w:trPr>
      <w:jc w:val="center"/>
    </w:trPr>
    <w:tcPr>
      <w:vAlign w:val="center"/>
    </w:tcPr>
  </w:style>
  <w:style w:type="character" w:styleId="Emphasis">
    <w:name w:val="Emphasis"/>
    <w:basedOn w:val="DefaultParagraphFont"/>
    <w:uiPriority w:val="20"/>
    <w:qFormat/>
    <w:rsid w:val="002C274C"/>
    <w:rPr>
      <w:b/>
      <w:bCs/>
      <w:i w:val="0"/>
      <w:iCs w:val="0"/>
    </w:rPr>
  </w:style>
  <w:style w:type="character" w:customStyle="1" w:styleId="st">
    <w:name w:val="st"/>
    <w:basedOn w:val="DefaultParagraphFont"/>
    <w:rsid w:val="002C2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376F"/>
    <w:pPr>
      <w:keepLines/>
    </w:pPr>
    <w:rPr>
      <w:rFonts w:ascii="Arial" w:hAnsi="Arial" w:cs="Arial"/>
      <w:sz w:val="22"/>
      <w:szCs w:val="22"/>
      <w:lang w:val="en-GB"/>
    </w:rPr>
  </w:style>
  <w:style w:type="paragraph" w:styleId="Kop1">
    <w:name w:val="heading 1"/>
    <w:basedOn w:val="Standaard"/>
    <w:next w:val="Standaard"/>
    <w:qFormat/>
    <w:rsid w:val="00BD3F44"/>
    <w:pPr>
      <w:keepNext/>
      <w:numPr>
        <w:numId w:val="30"/>
      </w:numPr>
      <w:tabs>
        <w:tab w:val="left" w:pos="1701"/>
      </w:tabs>
      <w:autoSpaceDE w:val="0"/>
      <w:autoSpaceDN w:val="0"/>
      <w:adjustRightInd w:val="0"/>
      <w:spacing w:after="240"/>
      <w:outlineLvl w:val="0"/>
    </w:pPr>
    <w:rPr>
      <w:b/>
      <w:color w:val="9FCB3B"/>
      <w:sz w:val="28"/>
      <w:szCs w:val="28"/>
    </w:rPr>
  </w:style>
  <w:style w:type="paragraph" w:styleId="Kop2">
    <w:name w:val="heading 2"/>
    <w:basedOn w:val="Standaard"/>
    <w:next w:val="Standaard"/>
    <w:qFormat/>
    <w:rsid w:val="00BD3F44"/>
    <w:pPr>
      <w:keepNext/>
      <w:numPr>
        <w:ilvl w:val="1"/>
        <w:numId w:val="30"/>
      </w:numPr>
      <w:spacing w:before="240" w:after="240"/>
      <w:outlineLvl w:val="1"/>
    </w:pPr>
    <w:rPr>
      <w:b/>
      <w:bCs/>
      <w:iCs/>
      <w:color w:val="9FCB3B"/>
      <w:sz w:val="24"/>
    </w:rPr>
  </w:style>
  <w:style w:type="paragraph" w:styleId="Kop3">
    <w:name w:val="heading 3"/>
    <w:basedOn w:val="Standaard"/>
    <w:next w:val="Standaard"/>
    <w:qFormat/>
    <w:rsid w:val="00BD3F44"/>
    <w:pPr>
      <w:keepNext/>
      <w:numPr>
        <w:ilvl w:val="2"/>
        <w:numId w:val="30"/>
      </w:numPr>
      <w:autoSpaceDE w:val="0"/>
      <w:autoSpaceDN w:val="0"/>
      <w:adjustRightInd w:val="0"/>
      <w:spacing w:before="120" w:after="120"/>
      <w:outlineLvl w:val="2"/>
    </w:pPr>
    <w:rPr>
      <w:b/>
      <w:bCs/>
      <w:color w:val="9FCB3B"/>
    </w:rPr>
  </w:style>
  <w:style w:type="paragraph" w:styleId="Kop4">
    <w:name w:val="heading 4"/>
    <w:basedOn w:val="Standaard"/>
    <w:next w:val="Standaard"/>
    <w:qFormat/>
    <w:rsid w:val="00486E79"/>
    <w:pPr>
      <w:keepNext/>
      <w:autoSpaceDE w:val="0"/>
      <w:autoSpaceDN w:val="0"/>
      <w:adjustRightInd w:val="0"/>
      <w:outlineLvl w:val="3"/>
    </w:pPr>
    <w:rPr>
      <w:b/>
      <w:color w:val="9FCB3B"/>
      <w:sz w:val="28"/>
      <w:szCs w:val="28"/>
    </w:rPr>
  </w:style>
  <w:style w:type="paragraph" w:styleId="Kop5">
    <w:name w:val="heading 5"/>
    <w:basedOn w:val="Standaard"/>
    <w:next w:val="Standaard"/>
    <w:qFormat/>
    <w:rsid w:val="00486E79"/>
    <w:pPr>
      <w:keepNext/>
      <w:autoSpaceDE w:val="0"/>
      <w:autoSpaceDN w:val="0"/>
      <w:adjustRightInd w:val="0"/>
      <w:outlineLvl w:val="4"/>
    </w:pPr>
    <w:rPr>
      <w:b/>
      <w:color w:val="000000"/>
      <w:sz w:val="32"/>
    </w:rPr>
  </w:style>
  <w:style w:type="paragraph" w:styleId="Kop6">
    <w:name w:val="heading 6"/>
    <w:basedOn w:val="Standaard"/>
    <w:next w:val="Standaard"/>
    <w:qFormat/>
    <w:rsid w:val="00486E79"/>
    <w:pPr>
      <w:keepNext/>
      <w:suppressAutoHyphens/>
      <w:autoSpaceDE w:val="0"/>
      <w:autoSpaceDN w:val="0"/>
      <w:adjustRightInd w:val="0"/>
      <w:outlineLvl w:val="5"/>
    </w:pPr>
    <w:rPr>
      <w:b/>
      <w:color w:val="000000"/>
    </w:rPr>
  </w:style>
  <w:style w:type="paragraph" w:styleId="Kop7">
    <w:name w:val="heading 7"/>
    <w:basedOn w:val="Standaard"/>
    <w:next w:val="Standaard"/>
    <w:qFormat/>
    <w:rsid w:val="00486E79"/>
    <w:pPr>
      <w:keepNext/>
      <w:suppressAutoHyphens/>
      <w:autoSpaceDE w:val="0"/>
      <w:autoSpaceDN w:val="0"/>
      <w:adjustRightInd w:val="0"/>
      <w:spacing w:before="97" w:after="58"/>
      <w:outlineLvl w:val="6"/>
    </w:pPr>
    <w:rPr>
      <w:b/>
      <w:color w:val="000000"/>
      <w:sz w:val="20"/>
    </w:rPr>
  </w:style>
  <w:style w:type="paragraph" w:styleId="Kop8">
    <w:name w:val="heading 8"/>
    <w:basedOn w:val="Standaard"/>
    <w:next w:val="Standaard"/>
    <w:qFormat/>
    <w:rsid w:val="00486E79"/>
    <w:pPr>
      <w:keepNext/>
      <w:autoSpaceDE w:val="0"/>
      <w:autoSpaceDN w:val="0"/>
      <w:adjustRightInd w:val="0"/>
      <w:jc w:val="center"/>
      <w:outlineLvl w:val="7"/>
    </w:pPr>
    <w:rPr>
      <w:b/>
      <w:color w:val="000000"/>
      <w:sz w:val="28"/>
    </w:rPr>
  </w:style>
  <w:style w:type="paragraph" w:styleId="Kop9">
    <w:name w:val="heading 9"/>
    <w:basedOn w:val="Standaard"/>
    <w:next w:val="Standaard"/>
    <w:qFormat/>
    <w:rsid w:val="00486E79"/>
    <w:pPr>
      <w:spacing w:before="240" w:after="6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lage">
    <w:name w:val="Bijlage"/>
    <w:basedOn w:val="Standaard"/>
    <w:next w:val="Standaard"/>
    <w:rsid w:val="00BD3F44"/>
    <w:pPr>
      <w:numPr>
        <w:numId w:val="13"/>
      </w:numPr>
      <w:tabs>
        <w:tab w:val="left" w:pos="1701"/>
      </w:tabs>
      <w:spacing w:after="240"/>
      <w:ind w:left="1701" w:hanging="1701"/>
    </w:pPr>
    <w:rPr>
      <w:rFonts w:cs="Times New Roman"/>
      <w:b/>
      <w:color w:val="9FCB3B"/>
      <w:sz w:val="28"/>
      <w:szCs w:val="28"/>
    </w:rPr>
  </w:style>
  <w:style w:type="paragraph" w:styleId="Koptekst">
    <w:name w:val="header"/>
    <w:basedOn w:val="Standaard"/>
    <w:rsid w:val="00486E79"/>
    <w:pPr>
      <w:tabs>
        <w:tab w:val="center" w:pos="4536"/>
        <w:tab w:val="right" w:pos="9072"/>
      </w:tabs>
    </w:pPr>
  </w:style>
  <w:style w:type="character" w:styleId="Eindnootmarkering">
    <w:name w:val="endnote reference"/>
    <w:rsid w:val="00486E79"/>
    <w:rPr>
      <w:rFonts w:cs="Times New Roman"/>
      <w:vertAlign w:val="superscript"/>
    </w:rPr>
  </w:style>
  <w:style w:type="paragraph" w:styleId="Eindnoottekst">
    <w:name w:val="endnote text"/>
    <w:basedOn w:val="Standaard"/>
    <w:link w:val="EindnoottekstChar"/>
    <w:rsid w:val="00FC76C3"/>
    <w:pPr>
      <w:tabs>
        <w:tab w:val="left" w:pos="454"/>
      </w:tabs>
      <w:spacing w:before="120" w:after="120"/>
      <w:ind w:left="454" w:hanging="454"/>
    </w:pPr>
    <w:rPr>
      <w:rFonts w:cs="Times New Roman"/>
      <w:sz w:val="18"/>
      <w:szCs w:val="18"/>
    </w:rPr>
  </w:style>
  <w:style w:type="character" w:styleId="GevolgdeHyperlink">
    <w:name w:val="FollowedHyperlink"/>
    <w:rsid w:val="00486E79"/>
    <w:rPr>
      <w:rFonts w:cs="Times New Roman"/>
      <w:color w:val="800080"/>
      <w:u w:val="single"/>
    </w:rPr>
  </w:style>
  <w:style w:type="character" w:styleId="Hyperlink">
    <w:name w:val="Hyperlink"/>
    <w:uiPriority w:val="99"/>
    <w:rsid w:val="00486E79"/>
    <w:rPr>
      <w:rFonts w:cs="Times New Roman"/>
      <w:color w:val="0000FF"/>
      <w:u w:val="single"/>
    </w:rPr>
  </w:style>
  <w:style w:type="paragraph" w:styleId="Index1">
    <w:name w:val="index 1"/>
    <w:basedOn w:val="Standaard"/>
    <w:next w:val="Standaard"/>
    <w:autoRedefine/>
    <w:semiHidden/>
    <w:rsid w:val="00486E79"/>
    <w:pPr>
      <w:numPr>
        <w:numId w:val="18"/>
      </w:numPr>
      <w:spacing w:before="120" w:after="60"/>
    </w:pPr>
    <w:rPr>
      <w:b/>
    </w:rPr>
  </w:style>
  <w:style w:type="paragraph" w:styleId="Index2">
    <w:name w:val="index 2"/>
    <w:basedOn w:val="Standaard"/>
    <w:next w:val="Standaard"/>
    <w:autoRedefine/>
    <w:semiHidden/>
    <w:rsid w:val="00486E79"/>
    <w:pPr>
      <w:ind w:left="284"/>
    </w:pPr>
  </w:style>
  <w:style w:type="paragraph" w:styleId="Inhopg1">
    <w:name w:val="toc 1"/>
    <w:basedOn w:val="Standaard"/>
    <w:next w:val="Standaard"/>
    <w:autoRedefine/>
    <w:uiPriority w:val="39"/>
    <w:rsid w:val="00486E79"/>
    <w:pPr>
      <w:tabs>
        <w:tab w:val="left" w:pos="1758"/>
        <w:tab w:val="right" w:leader="dot" w:pos="9072"/>
      </w:tabs>
      <w:spacing w:before="120" w:after="120"/>
    </w:pPr>
    <w:rPr>
      <w:rFonts w:cs="Times New Roman"/>
      <w:b/>
      <w:sz w:val="24"/>
      <w:szCs w:val="24"/>
    </w:rPr>
  </w:style>
  <w:style w:type="paragraph" w:styleId="Inhopg2">
    <w:name w:val="toc 2"/>
    <w:basedOn w:val="Standaard"/>
    <w:next w:val="Standaard"/>
    <w:autoRedefine/>
    <w:uiPriority w:val="39"/>
    <w:rsid w:val="00486E79"/>
    <w:pPr>
      <w:tabs>
        <w:tab w:val="right" w:leader="dot" w:pos="9072"/>
      </w:tabs>
      <w:spacing w:before="60" w:after="60"/>
      <w:ind w:left="1758" w:hanging="737"/>
    </w:pPr>
    <w:rPr>
      <w:rFonts w:cs="Times New Roman"/>
      <w:b/>
    </w:rPr>
  </w:style>
  <w:style w:type="paragraph" w:styleId="Inhopg3">
    <w:name w:val="toc 3"/>
    <w:basedOn w:val="Inhopg2"/>
    <w:next w:val="Standaard"/>
    <w:autoRedefine/>
    <w:uiPriority w:val="39"/>
    <w:rsid w:val="00486E79"/>
    <w:pPr>
      <w:spacing w:before="40" w:after="40"/>
    </w:pPr>
    <w:rPr>
      <w:b w:val="0"/>
    </w:rPr>
  </w:style>
  <w:style w:type="paragraph" w:styleId="Inhopg4">
    <w:name w:val="toc 4"/>
    <w:basedOn w:val="Standaard"/>
    <w:next w:val="Standaard"/>
    <w:autoRedefine/>
    <w:uiPriority w:val="39"/>
    <w:rsid w:val="00415768"/>
    <w:pPr>
      <w:tabs>
        <w:tab w:val="right" w:leader="dot" w:pos="9072"/>
      </w:tabs>
      <w:spacing w:before="120" w:after="120"/>
    </w:pPr>
    <w:rPr>
      <w:rFonts w:cs="Times New Roman"/>
      <w:b/>
      <w:sz w:val="24"/>
      <w:szCs w:val="24"/>
    </w:rPr>
  </w:style>
  <w:style w:type="paragraph" w:customStyle="1" w:styleId="Inspringing2">
    <w:name w:val="Inspringing 2"/>
    <w:basedOn w:val="Standaard"/>
    <w:link w:val="Inspringing2Char"/>
    <w:rsid w:val="00BD3F44"/>
    <w:pPr>
      <w:ind w:left="284"/>
    </w:pPr>
    <w:rPr>
      <w:rFonts w:cs="Times New Roman"/>
      <w:lang w:eastAsia="x-none"/>
    </w:rPr>
  </w:style>
  <w:style w:type="paragraph" w:customStyle="1" w:styleId="Inspringing3">
    <w:name w:val="Inspringing 3"/>
    <w:basedOn w:val="Standaard"/>
    <w:rsid w:val="00486E79"/>
    <w:pPr>
      <w:ind w:left="567"/>
    </w:pPr>
    <w:rPr>
      <w:bCs/>
    </w:rPr>
  </w:style>
  <w:style w:type="paragraph" w:customStyle="1" w:styleId="Inspringing4">
    <w:name w:val="Inspringing 4"/>
    <w:basedOn w:val="Standaard"/>
    <w:rsid w:val="00486E79"/>
    <w:pPr>
      <w:ind w:left="851"/>
    </w:pPr>
    <w:rPr>
      <w:bCs/>
    </w:rPr>
  </w:style>
  <w:style w:type="paragraph" w:customStyle="1" w:styleId="Inspringing5">
    <w:name w:val="Inspringing 5"/>
    <w:basedOn w:val="Standaard"/>
    <w:rsid w:val="00486E79"/>
    <w:pPr>
      <w:ind w:left="1134"/>
    </w:pPr>
    <w:rPr>
      <w:rFonts w:cs="Times New Roman"/>
    </w:rPr>
  </w:style>
  <w:style w:type="paragraph" w:customStyle="1" w:styleId="Opsomming1">
    <w:name w:val="Opsomming 1"/>
    <w:basedOn w:val="Standaard"/>
    <w:qFormat/>
    <w:rsid w:val="00486E79"/>
    <w:pPr>
      <w:numPr>
        <w:numId w:val="25"/>
      </w:numPr>
      <w:tabs>
        <w:tab w:val="left" w:pos="284"/>
        <w:tab w:val="right" w:pos="6804"/>
        <w:tab w:val="right" w:pos="8505"/>
      </w:tabs>
      <w:ind w:left="284" w:hanging="284"/>
    </w:pPr>
    <w:rPr>
      <w:b/>
    </w:rPr>
  </w:style>
  <w:style w:type="paragraph" w:styleId="Ballontekst">
    <w:name w:val="Balloon Text"/>
    <w:basedOn w:val="Standaard"/>
    <w:link w:val="BallontekstChar"/>
    <w:rsid w:val="00A5376F"/>
    <w:rPr>
      <w:rFonts w:ascii="Tahoma" w:hAnsi="Tahoma" w:cs="Tahoma"/>
      <w:sz w:val="16"/>
      <w:szCs w:val="16"/>
    </w:rPr>
  </w:style>
  <w:style w:type="paragraph" w:customStyle="1" w:styleId="Opsomming2">
    <w:name w:val="Opsomming 2"/>
    <w:basedOn w:val="Opsomming1"/>
    <w:link w:val="Opsomming2CharChar"/>
    <w:qFormat/>
    <w:rsid w:val="00486E79"/>
    <w:pPr>
      <w:numPr>
        <w:numId w:val="27"/>
      </w:numPr>
      <w:ind w:left="284" w:hanging="284"/>
    </w:pPr>
    <w:rPr>
      <w:b w:val="0"/>
    </w:rPr>
  </w:style>
  <w:style w:type="paragraph" w:customStyle="1" w:styleId="Opsomming3">
    <w:name w:val="Opsomming 3"/>
    <w:basedOn w:val="Opsomming2"/>
    <w:link w:val="Opsomming3CharChar"/>
    <w:qFormat/>
    <w:rsid w:val="00486E79"/>
    <w:pPr>
      <w:tabs>
        <w:tab w:val="clear" w:pos="284"/>
        <w:tab w:val="left" w:pos="567"/>
      </w:tabs>
      <w:ind w:left="567" w:hanging="283"/>
    </w:pPr>
  </w:style>
  <w:style w:type="paragraph" w:customStyle="1" w:styleId="Opsomming4">
    <w:name w:val="Opsomming 4"/>
    <w:basedOn w:val="Opsomming3"/>
    <w:rsid w:val="00486E79"/>
    <w:pPr>
      <w:tabs>
        <w:tab w:val="clear" w:pos="567"/>
        <w:tab w:val="left" w:pos="851"/>
      </w:tabs>
      <w:ind w:left="851"/>
    </w:pPr>
  </w:style>
  <w:style w:type="character" w:styleId="Paginanummer">
    <w:name w:val="page number"/>
    <w:rsid w:val="00486E79"/>
    <w:rPr>
      <w:color w:val="585855"/>
      <w:lang w:val="nl-NL"/>
    </w:rPr>
  </w:style>
  <w:style w:type="paragraph" w:customStyle="1" w:styleId="Tabelkop">
    <w:name w:val="Tabelkop"/>
    <w:basedOn w:val="Standaard"/>
    <w:next w:val="Standaard"/>
    <w:autoRedefine/>
    <w:qFormat/>
    <w:rsid w:val="00415768"/>
    <w:pPr>
      <w:keepNext/>
      <w:numPr>
        <w:numId w:val="26"/>
      </w:numPr>
      <w:spacing w:before="120" w:after="120"/>
      <w:jc w:val="center"/>
    </w:pPr>
    <w:rPr>
      <w:b/>
      <w:bCs/>
      <w:color w:val="9FCB3B"/>
      <w:szCs w:val="24"/>
    </w:rPr>
  </w:style>
  <w:style w:type="paragraph" w:customStyle="1" w:styleId="Opsomming5">
    <w:name w:val="Opsomming 5"/>
    <w:basedOn w:val="Opsomming4"/>
    <w:rsid w:val="00486E79"/>
    <w:pPr>
      <w:tabs>
        <w:tab w:val="clear" w:pos="851"/>
        <w:tab w:val="left" w:pos="1134"/>
      </w:tabs>
      <w:ind w:left="1134"/>
    </w:pPr>
  </w:style>
  <w:style w:type="paragraph" w:customStyle="1" w:styleId="Tabelbron">
    <w:name w:val="Tabelbron"/>
    <w:basedOn w:val="Standaard"/>
    <w:qFormat/>
    <w:rsid w:val="00E650BB"/>
    <w:pPr>
      <w:spacing w:before="120"/>
      <w:jc w:val="center"/>
    </w:pPr>
    <w:rPr>
      <w:color w:val="585855"/>
      <w:sz w:val="16"/>
    </w:rPr>
  </w:style>
  <w:style w:type="paragraph" w:customStyle="1" w:styleId="Opsomming6">
    <w:name w:val="Opsomming 6"/>
    <w:basedOn w:val="Opsomming5"/>
    <w:rsid w:val="00486E79"/>
    <w:pPr>
      <w:tabs>
        <w:tab w:val="clear" w:pos="1134"/>
        <w:tab w:val="left" w:pos="1418"/>
      </w:tabs>
      <w:ind w:left="1418" w:hanging="284"/>
    </w:pPr>
  </w:style>
  <w:style w:type="paragraph" w:customStyle="1" w:styleId="Tabeltekst">
    <w:name w:val="Tabeltekst"/>
    <w:basedOn w:val="Standaard"/>
    <w:next w:val="Standaard"/>
    <w:qFormat/>
    <w:rsid w:val="006B0B8C"/>
    <w:rPr>
      <w:color w:val="585855"/>
      <w:sz w:val="20"/>
      <w:szCs w:val="20"/>
    </w:rPr>
  </w:style>
  <w:style w:type="paragraph" w:styleId="Standaardinspringing">
    <w:name w:val="Normal Indent"/>
    <w:basedOn w:val="Standaard"/>
    <w:rsid w:val="00435EBE"/>
    <w:pPr>
      <w:ind w:left="708"/>
    </w:pPr>
  </w:style>
  <w:style w:type="paragraph" w:styleId="Voettekst">
    <w:name w:val="footer"/>
    <w:basedOn w:val="Standaard"/>
    <w:link w:val="VoettekstChar"/>
    <w:rsid w:val="00486E79"/>
    <w:pPr>
      <w:tabs>
        <w:tab w:val="center" w:pos="4536"/>
        <w:tab w:val="right" w:pos="9072"/>
      </w:tabs>
      <w:autoSpaceDE w:val="0"/>
      <w:autoSpaceDN w:val="0"/>
      <w:adjustRightInd w:val="0"/>
    </w:pPr>
    <w:rPr>
      <w:bCs/>
    </w:rPr>
  </w:style>
  <w:style w:type="character" w:customStyle="1" w:styleId="BallontekstChar">
    <w:name w:val="Ballontekst Char"/>
    <w:link w:val="Ballontekst"/>
    <w:rsid w:val="00A5376F"/>
    <w:rPr>
      <w:rFonts w:ascii="Tahoma" w:hAnsi="Tahoma" w:cs="Tahoma"/>
      <w:sz w:val="16"/>
      <w:szCs w:val="16"/>
      <w:lang w:val="en-GB"/>
    </w:rPr>
  </w:style>
  <w:style w:type="character" w:customStyle="1" w:styleId="ProfundoGrijsRGB88">
    <w:name w:val="Profundo Grijs (RGB 88"/>
    <w:aliases w:val="88,85)"/>
    <w:rsid w:val="00982905"/>
    <w:rPr>
      <w:color w:val="585855"/>
    </w:rPr>
  </w:style>
  <w:style w:type="character" w:customStyle="1" w:styleId="ProfundoGroenRGB159">
    <w:name w:val="Profundo Groen (RGB159"/>
    <w:aliases w:val="203,59)"/>
    <w:rsid w:val="00982905"/>
    <w:rPr>
      <w:color w:val="9FCB3B"/>
    </w:rPr>
  </w:style>
  <w:style w:type="character" w:customStyle="1" w:styleId="VoettekstChar">
    <w:name w:val="Voettekst Char"/>
    <w:link w:val="Voettekst"/>
    <w:rsid w:val="001D16AF"/>
    <w:rPr>
      <w:rFonts w:ascii="Arial" w:hAnsi="Arial" w:cs="Arial"/>
      <w:bCs/>
      <w:sz w:val="22"/>
      <w:szCs w:val="22"/>
      <w:lang w:val="en-GB"/>
    </w:rPr>
  </w:style>
  <w:style w:type="table" w:customStyle="1" w:styleId="Profundo">
    <w:name w:val="Profundo"/>
    <w:basedOn w:val="Standaardtabel"/>
    <w:uiPriority w:val="99"/>
    <w:rsid w:val="00E650BB"/>
    <w:pPr>
      <w:jc w:val="right"/>
    </w:pPr>
    <w:rPr>
      <w:rFonts w:ascii="Arial" w:hAnsi="Arial"/>
      <w:color w:val="585855"/>
    </w:rPr>
    <w:tblPr>
      <w:tblStyleColBandSize w:val="1"/>
      <w:jc w:val="center"/>
      <w:tblInd w:w="0" w:type="dxa"/>
      <w:tblBorders>
        <w:top w:val="single" w:sz="4" w:space="0" w:color="9FCB3B"/>
        <w:bottom w:val="single" w:sz="4" w:space="0" w:color="9FCB3B"/>
        <w:insideV w:val="single" w:sz="4" w:space="0" w:color="9FCB3B"/>
      </w:tblBorders>
      <w:tblCellMar>
        <w:top w:w="57" w:type="dxa"/>
        <w:left w:w="57" w:type="dxa"/>
        <w:bottom w:w="57" w:type="dxa"/>
        <w:right w:w="57" w:type="dxa"/>
      </w:tblCellMar>
    </w:tblPr>
    <w:trPr>
      <w:jc w:val="center"/>
    </w:trPr>
    <w:tcPr>
      <w:vAlign w:val="center"/>
    </w:tcPr>
    <w:tblStylePr w:type="firstRow">
      <w:rPr>
        <w:rFonts w:ascii="Arial" w:hAnsi="Arial"/>
        <w:b/>
        <w:sz w:val="20"/>
      </w:rPr>
      <w:tblPr/>
      <w:tcPr>
        <w:tcBorders>
          <w:bottom w:val="single" w:sz="4" w:space="0" w:color="9FCB3B"/>
        </w:tcBorders>
      </w:tcPr>
    </w:tblStylePr>
    <w:tblStylePr w:type="lastRow">
      <w:rPr>
        <w:rFonts w:ascii="Arial" w:hAnsi="Arial"/>
        <w:sz w:val="20"/>
      </w:rPr>
    </w:tblStylePr>
    <w:tblStylePr w:type="firstCol">
      <w:pPr>
        <w:jc w:val="left"/>
      </w:pPr>
      <w:rPr>
        <w:rFonts w:ascii="Arial" w:hAnsi="Arial"/>
        <w:sz w:val="20"/>
      </w:rPr>
    </w:tblStylePr>
    <w:tblStylePr w:type="lastCol">
      <w:pPr>
        <w:jc w:val="right"/>
      </w:pPr>
    </w:tblStylePr>
  </w:style>
  <w:style w:type="character" w:customStyle="1" w:styleId="EindnoottekstChar">
    <w:name w:val="Eindnoottekst Char"/>
    <w:link w:val="Eindnoottekst"/>
    <w:locked/>
    <w:rsid w:val="00FC76C3"/>
    <w:rPr>
      <w:rFonts w:ascii="Arial" w:hAnsi="Arial"/>
      <w:sz w:val="18"/>
      <w:szCs w:val="18"/>
      <w:lang w:val="en-GB"/>
    </w:rPr>
  </w:style>
  <w:style w:type="character" w:customStyle="1" w:styleId="EindnoottekstChar1">
    <w:name w:val="Eindnoottekst Char1"/>
    <w:rsid w:val="00486E79"/>
    <w:rPr>
      <w:rFonts w:ascii="Arial" w:hAnsi="Arial"/>
      <w:sz w:val="18"/>
      <w:szCs w:val="18"/>
      <w:lang w:val="nl-NL" w:eastAsia="nl-NL" w:bidi="ar-SA"/>
    </w:rPr>
  </w:style>
  <w:style w:type="paragraph" w:customStyle="1" w:styleId="Figuurbron">
    <w:name w:val="Figuurbron"/>
    <w:basedOn w:val="Tabelbron"/>
    <w:qFormat/>
    <w:rsid w:val="00BD3F44"/>
  </w:style>
  <w:style w:type="paragraph" w:customStyle="1" w:styleId="Figuurkop">
    <w:name w:val="Figuurkop"/>
    <w:basedOn w:val="Standaard"/>
    <w:next w:val="Standaard"/>
    <w:rsid w:val="00415768"/>
    <w:pPr>
      <w:keepLines w:val="0"/>
      <w:numPr>
        <w:numId w:val="17"/>
      </w:numPr>
      <w:spacing w:before="120" w:after="120"/>
      <w:ind w:left="1021" w:hanging="1021"/>
      <w:jc w:val="center"/>
    </w:pPr>
    <w:rPr>
      <w:b/>
      <w:color w:val="9FCB3B"/>
      <w:szCs w:val="20"/>
    </w:rPr>
  </w:style>
  <w:style w:type="character" w:customStyle="1" w:styleId="Inspringing2Char">
    <w:name w:val="Inspringing 2 Char"/>
    <w:link w:val="Inspringing2"/>
    <w:rsid w:val="00BD3F44"/>
    <w:rPr>
      <w:rFonts w:ascii="Arial" w:hAnsi="Arial"/>
      <w:sz w:val="22"/>
      <w:szCs w:val="22"/>
      <w:lang w:val="en-GB" w:eastAsia="x-none"/>
    </w:rPr>
  </w:style>
  <w:style w:type="paragraph" w:styleId="Plattetekst">
    <w:name w:val="Body Text"/>
    <w:basedOn w:val="Standaard"/>
    <w:link w:val="PlattetekstChar"/>
    <w:rsid w:val="00486E79"/>
    <w:pPr>
      <w:spacing w:after="120"/>
    </w:pPr>
  </w:style>
  <w:style w:type="character" w:customStyle="1" w:styleId="PlattetekstChar">
    <w:name w:val="Platte tekst Char"/>
    <w:link w:val="Plattetekst"/>
    <w:rsid w:val="00486E79"/>
    <w:rPr>
      <w:rFonts w:ascii="Arial" w:hAnsi="Arial" w:cs="Arial"/>
      <w:sz w:val="22"/>
      <w:szCs w:val="22"/>
      <w:lang w:val="en-GB"/>
    </w:rPr>
  </w:style>
  <w:style w:type="paragraph" w:styleId="Lijst">
    <w:name w:val="List"/>
    <w:basedOn w:val="Plattetekst"/>
    <w:rsid w:val="00486E79"/>
    <w:pPr>
      <w:keepLines w:val="0"/>
      <w:widowControl w:val="0"/>
      <w:suppressAutoHyphens/>
    </w:pPr>
    <w:rPr>
      <w:rFonts w:ascii="Times New Roman" w:hAnsi="Times New Roman" w:cs="Tahoma"/>
      <w:kern w:val="1"/>
      <w:sz w:val="24"/>
      <w:szCs w:val="24"/>
      <w:lang w:val="en-US"/>
    </w:rPr>
  </w:style>
  <w:style w:type="paragraph" w:styleId="Lijstalinea">
    <w:name w:val="List Paragraph"/>
    <w:basedOn w:val="Standaard"/>
    <w:uiPriority w:val="34"/>
    <w:qFormat/>
    <w:rsid w:val="00486E79"/>
    <w:pPr>
      <w:keepLines w:val="0"/>
      <w:ind w:left="720"/>
      <w:contextualSpacing/>
    </w:pPr>
    <w:rPr>
      <w:rFonts w:cs="Times New Roman"/>
    </w:rPr>
  </w:style>
  <w:style w:type="paragraph" w:styleId="Tekstopmerking">
    <w:name w:val="annotation text"/>
    <w:basedOn w:val="Standaard"/>
    <w:link w:val="TekstopmerkingChar"/>
    <w:rsid w:val="00486E79"/>
    <w:rPr>
      <w:sz w:val="20"/>
      <w:szCs w:val="20"/>
    </w:rPr>
  </w:style>
  <w:style w:type="character" w:customStyle="1" w:styleId="TekstopmerkingChar">
    <w:name w:val="Tekst opmerking Char"/>
    <w:link w:val="Tekstopmerking"/>
    <w:rsid w:val="00486E79"/>
    <w:rPr>
      <w:rFonts w:ascii="Arial" w:hAnsi="Arial" w:cs="Arial"/>
      <w:lang w:val="en-GB"/>
    </w:rPr>
  </w:style>
  <w:style w:type="paragraph" w:styleId="Onderwerpvanopmerking">
    <w:name w:val="annotation subject"/>
    <w:basedOn w:val="Tekstopmerking"/>
    <w:next w:val="Tekstopmerking"/>
    <w:link w:val="OnderwerpvanopmerkingChar"/>
    <w:rsid w:val="00486E79"/>
    <w:rPr>
      <w:b/>
      <w:bCs/>
    </w:rPr>
  </w:style>
  <w:style w:type="character" w:customStyle="1" w:styleId="OnderwerpvanopmerkingChar">
    <w:name w:val="Onderwerp van opmerking Char"/>
    <w:link w:val="Onderwerpvanopmerking"/>
    <w:rsid w:val="00486E79"/>
    <w:rPr>
      <w:rFonts w:ascii="Arial" w:hAnsi="Arial" w:cs="Arial"/>
      <w:b/>
      <w:bCs/>
      <w:lang w:val="en-GB"/>
    </w:rPr>
  </w:style>
  <w:style w:type="character" w:customStyle="1" w:styleId="Opsomming2CharChar">
    <w:name w:val="Opsomming 2 Char Char"/>
    <w:link w:val="Opsomming2"/>
    <w:locked/>
    <w:rsid w:val="00486E79"/>
    <w:rPr>
      <w:rFonts w:ascii="Arial" w:hAnsi="Arial" w:cs="Arial"/>
      <w:sz w:val="22"/>
      <w:szCs w:val="22"/>
      <w:lang w:val="en-GB"/>
    </w:rPr>
  </w:style>
  <w:style w:type="character" w:customStyle="1" w:styleId="Opsomming3CharChar">
    <w:name w:val="Opsomming 3 Char Char"/>
    <w:link w:val="Opsomming3"/>
    <w:locked/>
    <w:rsid w:val="00486E79"/>
    <w:rPr>
      <w:rFonts w:ascii="Arial" w:hAnsi="Arial" w:cs="Arial"/>
      <w:sz w:val="22"/>
      <w:szCs w:val="22"/>
      <w:lang w:val="en-GB"/>
    </w:rPr>
  </w:style>
  <w:style w:type="character" w:customStyle="1" w:styleId="Opsomming3Char">
    <w:name w:val="Opsomming 3 Char"/>
    <w:rsid w:val="00486E79"/>
    <w:rPr>
      <w:rFonts w:ascii="Arial" w:hAnsi="Arial" w:cs="Arial"/>
      <w:sz w:val="22"/>
      <w:szCs w:val="22"/>
      <w:lang w:val="nl-NL" w:eastAsia="nl-NL" w:bidi="ar-SA"/>
    </w:rPr>
  </w:style>
  <w:style w:type="character" w:styleId="Verwijzingopmerking">
    <w:name w:val="annotation reference"/>
    <w:rsid w:val="00486E79"/>
    <w:rPr>
      <w:sz w:val="16"/>
      <w:szCs w:val="16"/>
    </w:rPr>
  </w:style>
  <w:style w:type="character" w:styleId="Voetnootmarkering">
    <w:name w:val="footnote reference"/>
    <w:rsid w:val="00486E79"/>
    <w:rPr>
      <w:rFonts w:cs="Times New Roman"/>
      <w:vertAlign w:val="superscript"/>
    </w:rPr>
  </w:style>
  <w:style w:type="paragraph" w:styleId="Voetnoottekst">
    <w:name w:val="footnote text"/>
    <w:basedOn w:val="Standaard"/>
    <w:link w:val="VoetnoottekstChar"/>
    <w:rsid w:val="00486E79"/>
    <w:pPr>
      <w:tabs>
        <w:tab w:val="left" w:pos="284"/>
      </w:tabs>
      <w:ind w:left="284" w:hanging="284"/>
    </w:pPr>
    <w:rPr>
      <w:sz w:val="18"/>
      <w:szCs w:val="20"/>
    </w:rPr>
  </w:style>
  <w:style w:type="character" w:customStyle="1" w:styleId="VoetnoottekstChar">
    <w:name w:val="Voetnoottekst Char"/>
    <w:link w:val="Voetnoottekst"/>
    <w:rsid w:val="00486E79"/>
    <w:rPr>
      <w:rFonts w:ascii="Arial" w:hAnsi="Arial" w:cs="Arial"/>
      <w:sz w:val="18"/>
      <w:lang w:val="en-GB"/>
    </w:rPr>
  </w:style>
  <w:style w:type="paragraph" w:customStyle="1" w:styleId="Diepeinspringing">
    <w:name w:val="Diepe inspringing"/>
    <w:basedOn w:val="Standaard"/>
    <w:rsid w:val="000D5FD2"/>
    <w:pPr>
      <w:tabs>
        <w:tab w:val="left" w:pos="2552"/>
      </w:tabs>
      <w:ind w:left="2552" w:hanging="2552"/>
    </w:pPr>
    <w:rPr>
      <w:lang w:val="nl-NL"/>
    </w:rPr>
  </w:style>
  <w:style w:type="table" w:styleId="Tabelraster">
    <w:name w:val="Table Grid"/>
    <w:basedOn w:val="Standaardtabel"/>
    <w:rsid w:val="0018560A"/>
    <w:pPr>
      <w:keepLines/>
    </w:pPr>
    <w:rPr>
      <w:rFonts w:ascii="Arial" w:hAnsi="Arial"/>
    </w:rPr>
    <w:tblPr>
      <w:jc w:val="center"/>
      <w:tblInd w:w="0" w:type="dxa"/>
      <w:tblBorders>
        <w:top w:val="single" w:sz="8" w:space="0" w:color="9BBB59"/>
        <w:bottom w:val="single" w:sz="8" w:space="0" w:color="9BBB59"/>
        <w:insideV w:val="single" w:sz="8" w:space="0" w:color="9BBB59"/>
      </w:tblBorders>
      <w:tblCellMar>
        <w:top w:w="57" w:type="dxa"/>
        <w:left w:w="57" w:type="dxa"/>
        <w:bottom w:w="57" w:type="dxa"/>
        <w:right w:w="57" w:type="dxa"/>
      </w:tblCellMar>
    </w:tblPr>
    <w:trPr>
      <w:jc w:val="center"/>
    </w:trPr>
    <w:tcPr>
      <w:vAlign w:val="center"/>
    </w:tcPr>
  </w:style>
  <w:style w:type="character" w:styleId="Nadruk">
    <w:name w:val="Emphasis"/>
    <w:basedOn w:val="Standaardalinea-lettertype"/>
    <w:uiPriority w:val="20"/>
    <w:qFormat/>
    <w:rsid w:val="002C274C"/>
    <w:rPr>
      <w:b/>
      <w:bCs/>
      <w:i w:val="0"/>
      <w:iCs w:val="0"/>
    </w:rPr>
  </w:style>
  <w:style w:type="character" w:customStyle="1" w:styleId="st">
    <w:name w:val="st"/>
    <w:basedOn w:val="Standaardalinea-lettertype"/>
    <w:rsid w:val="002C27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5F93-E69E-4211-B101-B28C012F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10062</Words>
  <Characters>57354</Characters>
  <Application>Microsoft Office Word</Application>
  <DocSecurity>0</DocSecurity>
  <Lines>477</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Dutch financing of food companies</vt:lpstr>
      <vt:lpstr>Report Profundo</vt:lpstr>
    </vt:vector>
  </TitlesOfParts>
  <Company>Profundo</Company>
  <LinksUpToDate>false</LinksUpToDate>
  <CharactersWithSpaces>67282</CharactersWithSpaces>
  <SharedDoc>false</SharedDoc>
  <HLinks>
    <vt:vector size="36" baseType="variant">
      <vt:variant>
        <vt:i4>1310774</vt:i4>
      </vt:variant>
      <vt:variant>
        <vt:i4>35</vt:i4>
      </vt:variant>
      <vt:variant>
        <vt:i4>0</vt:i4>
      </vt:variant>
      <vt:variant>
        <vt:i4>5</vt:i4>
      </vt:variant>
      <vt:variant>
        <vt:lpwstr/>
      </vt:variant>
      <vt:variant>
        <vt:lpwstr>_Toc198093697</vt:lpwstr>
      </vt:variant>
      <vt:variant>
        <vt:i4>1310774</vt:i4>
      </vt:variant>
      <vt:variant>
        <vt:i4>29</vt:i4>
      </vt:variant>
      <vt:variant>
        <vt:i4>0</vt:i4>
      </vt:variant>
      <vt:variant>
        <vt:i4>5</vt:i4>
      </vt:variant>
      <vt:variant>
        <vt:lpwstr/>
      </vt:variant>
      <vt:variant>
        <vt:lpwstr>_Toc198093696</vt:lpwstr>
      </vt:variant>
      <vt:variant>
        <vt:i4>1310774</vt:i4>
      </vt:variant>
      <vt:variant>
        <vt:i4>23</vt:i4>
      </vt:variant>
      <vt:variant>
        <vt:i4>0</vt:i4>
      </vt:variant>
      <vt:variant>
        <vt:i4>5</vt:i4>
      </vt:variant>
      <vt:variant>
        <vt:lpwstr/>
      </vt:variant>
      <vt:variant>
        <vt:lpwstr>_Toc198093695</vt:lpwstr>
      </vt:variant>
      <vt:variant>
        <vt:i4>1310774</vt:i4>
      </vt:variant>
      <vt:variant>
        <vt:i4>17</vt:i4>
      </vt:variant>
      <vt:variant>
        <vt:i4>0</vt:i4>
      </vt:variant>
      <vt:variant>
        <vt:i4>5</vt:i4>
      </vt:variant>
      <vt:variant>
        <vt:lpwstr/>
      </vt:variant>
      <vt:variant>
        <vt:lpwstr>_Toc198093694</vt:lpwstr>
      </vt:variant>
      <vt:variant>
        <vt:i4>1310774</vt:i4>
      </vt:variant>
      <vt:variant>
        <vt:i4>11</vt:i4>
      </vt:variant>
      <vt:variant>
        <vt:i4>0</vt:i4>
      </vt:variant>
      <vt:variant>
        <vt:i4>5</vt:i4>
      </vt:variant>
      <vt:variant>
        <vt:lpwstr/>
      </vt:variant>
      <vt:variant>
        <vt:lpwstr>_Toc198093693</vt:lpwstr>
      </vt:variant>
      <vt:variant>
        <vt:i4>1310774</vt:i4>
      </vt:variant>
      <vt:variant>
        <vt:i4>5</vt:i4>
      </vt:variant>
      <vt:variant>
        <vt:i4>0</vt:i4>
      </vt:variant>
      <vt:variant>
        <vt:i4>5</vt:i4>
      </vt:variant>
      <vt:variant>
        <vt:lpwstr/>
      </vt:variant>
      <vt:variant>
        <vt:lpwstr>_Toc198093692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Dutch financing of food companies</dc:title>
  <dc:creator>Jan Willem van Gelder &amp; Hassel Kroes</dc:creator>
  <cp:lastModifiedBy>Peterr</cp:lastModifiedBy>
  <cp:revision>2</cp:revision>
  <cp:lastPrinted>2013-09-10T13:03:00Z</cp:lastPrinted>
  <dcterms:created xsi:type="dcterms:W3CDTF">2013-09-10T13:04:00Z</dcterms:created>
  <dcterms:modified xsi:type="dcterms:W3CDTF">2013-09-10T13:04:00Z</dcterms:modified>
</cp:coreProperties>
</file>